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FA9" w:rsidRDefault="00625B60">
      <w:r>
        <w:rPr>
          <w:noProof/>
        </w:rPr>
        <w:drawing>
          <wp:inline distT="0" distB="0" distL="0" distR="0">
            <wp:extent cx="2026920" cy="10591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U cropped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F14" w:rsidRDefault="00F21CFB">
      <w:pPr>
        <w:rPr>
          <w:rFonts w:asciiTheme="minorHAnsi" w:hAnsiTheme="minorHAnsi"/>
          <w:sz w:val="20"/>
          <w:szCs w:val="20"/>
        </w:rPr>
      </w:pPr>
      <w:r w:rsidRPr="003C718E">
        <w:rPr>
          <w:rFonts w:asciiTheme="minorHAnsi" w:hAnsiTheme="minorHAnsi"/>
          <w:sz w:val="20"/>
          <w:szCs w:val="20"/>
        </w:rPr>
        <w:t xml:space="preserve">London, </w:t>
      </w:r>
      <w:r w:rsidR="009A1A83">
        <w:rPr>
          <w:rFonts w:asciiTheme="minorHAnsi" w:hAnsiTheme="minorHAnsi"/>
          <w:sz w:val="20"/>
          <w:szCs w:val="20"/>
        </w:rPr>
        <w:t xml:space="preserve">7 </w:t>
      </w:r>
      <w:r w:rsidR="00DE21EC">
        <w:rPr>
          <w:rFonts w:asciiTheme="minorHAnsi" w:hAnsiTheme="minorHAnsi"/>
          <w:sz w:val="20"/>
          <w:szCs w:val="20"/>
        </w:rPr>
        <w:t xml:space="preserve">April </w:t>
      </w:r>
      <w:r w:rsidRPr="003C718E">
        <w:rPr>
          <w:rFonts w:asciiTheme="minorHAnsi" w:hAnsiTheme="minorHAnsi"/>
          <w:sz w:val="20"/>
          <w:szCs w:val="20"/>
        </w:rPr>
        <w:t>20</w:t>
      </w:r>
      <w:r w:rsidR="00DE21EC">
        <w:rPr>
          <w:rFonts w:asciiTheme="minorHAnsi" w:hAnsiTheme="minorHAnsi"/>
          <w:sz w:val="20"/>
          <w:szCs w:val="20"/>
        </w:rPr>
        <w:t>20</w:t>
      </w:r>
    </w:p>
    <w:p w:rsidR="00C62C69" w:rsidRPr="003C718E" w:rsidRDefault="00C62C69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96"/>
      </w:tblGrid>
      <w:tr w:rsidR="007C1B1D" w:rsidTr="009D244F">
        <w:trPr>
          <w:trHeight w:val="498"/>
          <w:jc w:val="center"/>
        </w:trPr>
        <w:tc>
          <w:tcPr>
            <w:tcW w:w="8296" w:type="dxa"/>
            <w:shd w:val="clear" w:color="auto" w:fill="D6E3BC" w:themeFill="accent3" w:themeFillTint="66"/>
            <w:vAlign w:val="center"/>
          </w:tcPr>
          <w:p w:rsidR="007C1B1D" w:rsidRDefault="007C1B1D" w:rsidP="005B59B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Tennis Integrity Unit Briefing Note</w:t>
            </w:r>
            <w:r w:rsidR="0080730E">
              <w:rPr>
                <w:rFonts w:asciiTheme="minorHAnsi" w:hAnsiTheme="minorHAnsi"/>
                <w:b/>
              </w:rPr>
              <w:t xml:space="preserve">: </w:t>
            </w:r>
            <w:r w:rsidR="007921EA">
              <w:rPr>
                <w:rFonts w:asciiTheme="minorHAnsi" w:hAnsiTheme="minorHAnsi"/>
                <w:b/>
              </w:rPr>
              <w:t>J</w:t>
            </w:r>
            <w:r w:rsidR="005B59BA">
              <w:rPr>
                <w:rFonts w:asciiTheme="minorHAnsi" w:hAnsiTheme="minorHAnsi"/>
                <w:b/>
              </w:rPr>
              <w:t xml:space="preserve">anuary </w:t>
            </w:r>
            <w:r w:rsidR="00C37E7D">
              <w:rPr>
                <w:rFonts w:asciiTheme="minorHAnsi" w:hAnsiTheme="minorHAnsi"/>
                <w:b/>
              </w:rPr>
              <w:t xml:space="preserve">– </w:t>
            </w:r>
            <w:r w:rsidR="005B59BA">
              <w:rPr>
                <w:rFonts w:asciiTheme="minorHAnsi" w:hAnsiTheme="minorHAnsi"/>
                <w:b/>
              </w:rPr>
              <w:t xml:space="preserve">March </w:t>
            </w:r>
            <w:r w:rsidR="007921EA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0</w:t>
            </w:r>
            <w:r w:rsidR="005B59BA">
              <w:rPr>
                <w:rFonts w:asciiTheme="minorHAnsi" w:hAnsiTheme="minorHAnsi"/>
                <w:b/>
              </w:rPr>
              <w:t>20</w:t>
            </w:r>
          </w:p>
        </w:tc>
      </w:tr>
    </w:tbl>
    <w:p w:rsidR="005D60E7" w:rsidRDefault="005D60E7" w:rsidP="005D60E7">
      <w:pPr>
        <w:rPr>
          <w:rFonts w:asciiTheme="minorHAnsi" w:hAnsiTheme="minorHAnsi"/>
          <w:b/>
          <w:sz w:val="20"/>
          <w:szCs w:val="20"/>
          <w:u w:val="single"/>
        </w:rPr>
      </w:pPr>
    </w:p>
    <w:p w:rsidR="005F001C" w:rsidRPr="003A2AEB" w:rsidRDefault="00095AE9" w:rsidP="003515CF">
      <w:pPr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r w:rsidRPr="003A2AEB">
        <w:rPr>
          <w:rFonts w:ascii="Calibri" w:eastAsia="Calibri" w:hAnsi="Calibri"/>
          <w:b/>
          <w:sz w:val="22"/>
          <w:szCs w:val="22"/>
          <w:u w:val="single"/>
          <w:lang w:eastAsia="en-US"/>
        </w:rPr>
        <w:t>Increase in</w:t>
      </w:r>
      <w:r w:rsidR="00FB2C0A" w:rsidRPr="003A2AEB">
        <w:rPr>
          <w:rFonts w:ascii="Calibri" w:eastAsia="Calibri" w:hAnsi="Calibri"/>
          <w:b/>
          <w:sz w:val="22"/>
          <w:szCs w:val="22"/>
          <w:u w:val="single"/>
          <w:lang w:eastAsia="en-US"/>
        </w:rPr>
        <w:t xml:space="preserve"> first quarter </w:t>
      </w:r>
      <w:r w:rsidRPr="003A2AEB">
        <w:rPr>
          <w:rFonts w:ascii="Calibri" w:eastAsia="Calibri" w:hAnsi="Calibri"/>
          <w:b/>
          <w:sz w:val="22"/>
          <w:szCs w:val="22"/>
          <w:u w:val="single"/>
          <w:lang w:eastAsia="en-US"/>
        </w:rPr>
        <w:t xml:space="preserve">match alerts </w:t>
      </w:r>
      <w:r w:rsidR="00782019" w:rsidRPr="003A2AEB">
        <w:rPr>
          <w:rFonts w:ascii="Calibri" w:eastAsia="Calibri" w:hAnsi="Calibri"/>
          <w:b/>
          <w:sz w:val="22"/>
          <w:szCs w:val="22"/>
          <w:u w:val="single"/>
          <w:lang w:eastAsia="en-US"/>
        </w:rPr>
        <w:t xml:space="preserve">linked to suspension of tennis </w:t>
      </w:r>
    </w:p>
    <w:p w:rsidR="00C561DB" w:rsidRPr="003A2AEB" w:rsidRDefault="00D75145" w:rsidP="002E5CE1">
      <w:pPr>
        <w:rPr>
          <w:rFonts w:asciiTheme="minorHAnsi" w:eastAsia="Calibri" w:hAnsiTheme="minorHAnsi"/>
          <w:sz w:val="22"/>
          <w:szCs w:val="22"/>
          <w:lang w:eastAsia="en-US"/>
        </w:rPr>
      </w:pPr>
      <w:r w:rsidRPr="003A2AEB">
        <w:rPr>
          <w:rFonts w:asciiTheme="minorHAnsi" w:eastAsia="Calibri" w:hAnsiTheme="minorHAnsi"/>
          <w:sz w:val="22"/>
          <w:szCs w:val="22"/>
          <w:lang w:eastAsia="en-US"/>
        </w:rPr>
        <w:t xml:space="preserve">Between </w:t>
      </w:r>
      <w:r w:rsidR="00646D3B" w:rsidRPr="003A2AEB">
        <w:rPr>
          <w:rFonts w:asciiTheme="minorHAnsi" w:eastAsia="Calibri" w:hAnsiTheme="minorHAnsi"/>
          <w:sz w:val="22"/>
          <w:szCs w:val="22"/>
          <w:lang w:eastAsia="en-US"/>
        </w:rPr>
        <w:t>J</w:t>
      </w:r>
      <w:r w:rsidR="00DE64F7" w:rsidRPr="003A2AEB">
        <w:rPr>
          <w:rFonts w:asciiTheme="minorHAnsi" w:eastAsia="Calibri" w:hAnsiTheme="minorHAnsi"/>
          <w:sz w:val="22"/>
          <w:szCs w:val="22"/>
          <w:lang w:eastAsia="en-US"/>
        </w:rPr>
        <w:t xml:space="preserve">anuary </w:t>
      </w:r>
      <w:r w:rsidRPr="003A2AEB">
        <w:rPr>
          <w:rFonts w:asciiTheme="minorHAnsi" w:eastAsia="Calibri" w:hAnsiTheme="minorHAnsi"/>
          <w:sz w:val="22"/>
          <w:szCs w:val="22"/>
          <w:lang w:eastAsia="en-US"/>
        </w:rPr>
        <w:t xml:space="preserve">and </w:t>
      </w:r>
      <w:r w:rsidR="001E37E3" w:rsidRPr="003A2AEB">
        <w:rPr>
          <w:rFonts w:asciiTheme="minorHAnsi" w:eastAsia="Calibri" w:hAnsiTheme="minorHAnsi"/>
          <w:sz w:val="22"/>
          <w:szCs w:val="22"/>
          <w:lang w:eastAsia="en-US"/>
        </w:rPr>
        <w:t xml:space="preserve">22 </w:t>
      </w:r>
      <w:r w:rsidR="00DE64F7" w:rsidRPr="003A2AEB">
        <w:rPr>
          <w:rFonts w:asciiTheme="minorHAnsi" w:eastAsia="Calibri" w:hAnsiTheme="minorHAnsi"/>
          <w:sz w:val="22"/>
          <w:szCs w:val="22"/>
          <w:lang w:eastAsia="en-US"/>
        </w:rPr>
        <w:t xml:space="preserve">March </w:t>
      </w:r>
      <w:r w:rsidR="003328ED" w:rsidRPr="003A2AEB">
        <w:rPr>
          <w:rFonts w:asciiTheme="minorHAnsi" w:eastAsia="Calibri" w:hAnsiTheme="minorHAnsi"/>
          <w:sz w:val="22"/>
          <w:szCs w:val="22"/>
          <w:lang w:eastAsia="en-US"/>
        </w:rPr>
        <w:t>20</w:t>
      </w:r>
      <w:r w:rsidR="00DE64F7" w:rsidRPr="003A2AEB">
        <w:rPr>
          <w:rFonts w:asciiTheme="minorHAnsi" w:eastAsia="Calibri" w:hAnsiTheme="minorHAnsi"/>
          <w:sz w:val="22"/>
          <w:szCs w:val="22"/>
          <w:lang w:eastAsia="en-US"/>
        </w:rPr>
        <w:t>20</w:t>
      </w:r>
      <w:r w:rsidR="003328ED" w:rsidRPr="003A2AEB">
        <w:rPr>
          <w:rFonts w:asciiTheme="minorHAnsi" w:eastAsia="Calibri" w:hAnsiTheme="minorHAnsi"/>
          <w:sz w:val="22"/>
          <w:szCs w:val="22"/>
          <w:lang w:eastAsia="en-US"/>
        </w:rPr>
        <w:t xml:space="preserve"> the TIU received a total of</w:t>
      </w:r>
      <w:r w:rsidR="003328ED" w:rsidRPr="003A2AEB">
        <w:rPr>
          <w:rFonts w:asciiTheme="minorHAnsi" w:eastAsia="Calibri" w:hAnsiTheme="minorHAnsi"/>
          <w:color w:val="FF0000"/>
          <w:sz w:val="22"/>
          <w:szCs w:val="22"/>
          <w:lang w:eastAsia="en-US"/>
        </w:rPr>
        <w:t xml:space="preserve"> </w:t>
      </w:r>
      <w:r w:rsidR="00DE64F7" w:rsidRPr="003A2AEB">
        <w:rPr>
          <w:rFonts w:asciiTheme="minorHAnsi" w:eastAsia="Calibri" w:hAnsiTheme="minorHAnsi"/>
          <w:sz w:val="22"/>
          <w:szCs w:val="22"/>
          <w:lang w:eastAsia="en-US"/>
        </w:rPr>
        <w:t>38</w:t>
      </w:r>
      <w:r w:rsidRPr="003A2AEB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  <w:r w:rsidR="00BC5986" w:rsidRPr="003A2AEB">
        <w:rPr>
          <w:rFonts w:asciiTheme="minorHAnsi" w:eastAsia="Calibri" w:hAnsiTheme="minorHAnsi"/>
          <w:sz w:val="22"/>
          <w:szCs w:val="22"/>
          <w:lang w:eastAsia="en-US"/>
        </w:rPr>
        <w:t>m</w:t>
      </w:r>
      <w:r w:rsidR="003328ED" w:rsidRPr="003A2AEB">
        <w:rPr>
          <w:rFonts w:asciiTheme="minorHAnsi" w:eastAsia="Calibri" w:hAnsiTheme="minorHAnsi"/>
          <w:sz w:val="22"/>
          <w:szCs w:val="22"/>
          <w:lang w:eastAsia="en-US"/>
        </w:rPr>
        <w:t xml:space="preserve">atch alerts through </w:t>
      </w:r>
      <w:r w:rsidR="00A96E9A" w:rsidRPr="003A2AEB">
        <w:rPr>
          <w:rFonts w:asciiTheme="minorHAnsi" w:eastAsia="Calibri" w:hAnsiTheme="minorHAnsi"/>
          <w:sz w:val="22"/>
          <w:szCs w:val="22"/>
          <w:lang w:eastAsia="en-US"/>
        </w:rPr>
        <w:t xml:space="preserve">its </w:t>
      </w:r>
      <w:r w:rsidR="003328ED" w:rsidRPr="003A2AEB">
        <w:rPr>
          <w:rFonts w:asciiTheme="minorHAnsi" w:eastAsia="Calibri" w:hAnsiTheme="minorHAnsi"/>
          <w:sz w:val="22"/>
          <w:szCs w:val="22"/>
          <w:lang w:eastAsia="en-US"/>
        </w:rPr>
        <w:t>Memorandums</w:t>
      </w:r>
      <w:r w:rsidR="005C33AD" w:rsidRPr="003A2AEB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3328ED" w:rsidRPr="003A2AEB">
        <w:rPr>
          <w:rFonts w:asciiTheme="minorHAnsi" w:eastAsia="Calibri" w:hAnsiTheme="minorHAnsi"/>
          <w:sz w:val="22"/>
          <w:szCs w:val="22"/>
          <w:lang w:eastAsia="en-US"/>
        </w:rPr>
        <w:t>of Understanding</w:t>
      </w:r>
      <w:r w:rsidR="00364D85" w:rsidRPr="003A2AEB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3328ED" w:rsidRPr="003A2AEB">
        <w:rPr>
          <w:rFonts w:asciiTheme="minorHAnsi" w:eastAsia="Calibri" w:hAnsiTheme="minorHAnsi"/>
          <w:sz w:val="22"/>
          <w:szCs w:val="22"/>
          <w:lang w:eastAsia="en-US"/>
        </w:rPr>
        <w:t xml:space="preserve">with </w:t>
      </w:r>
      <w:r w:rsidR="00CD7728" w:rsidRPr="003A2AEB">
        <w:rPr>
          <w:rFonts w:asciiTheme="minorHAnsi" w:eastAsia="Calibri" w:hAnsiTheme="minorHAnsi"/>
          <w:sz w:val="22"/>
          <w:szCs w:val="22"/>
          <w:lang w:eastAsia="en-US"/>
        </w:rPr>
        <w:t xml:space="preserve">the </w:t>
      </w:r>
      <w:r w:rsidR="003328ED" w:rsidRPr="003A2AEB">
        <w:rPr>
          <w:rFonts w:asciiTheme="minorHAnsi" w:eastAsia="Calibri" w:hAnsiTheme="minorHAnsi"/>
          <w:sz w:val="22"/>
          <w:szCs w:val="22"/>
          <w:lang w:eastAsia="en-US"/>
        </w:rPr>
        <w:t>regulat</w:t>
      </w:r>
      <w:r w:rsidR="00CD7728" w:rsidRPr="003A2AEB">
        <w:rPr>
          <w:rFonts w:asciiTheme="minorHAnsi" w:eastAsia="Calibri" w:hAnsiTheme="minorHAnsi"/>
          <w:sz w:val="22"/>
          <w:szCs w:val="22"/>
          <w:lang w:eastAsia="en-US"/>
        </w:rPr>
        <w:t xml:space="preserve">ed </w:t>
      </w:r>
      <w:r w:rsidR="003328ED" w:rsidRPr="003A2AEB">
        <w:rPr>
          <w:rFonts w:asciiTheme="minorHAnsi" w:eastAsia="Calibri" w:hAnsiTheme="minorHAnsi"/>
          <w:sz w:val="22"/>
          <w:szCs w:val="22"/>
          <w:lang w:eastAsia="en-US"/>
        </w:rPr>
        <w:t xml:space="preserve">betting </w:t>
      </w:r>
      <w:r w:rsidR="00CD7728" w:rsidRPr="003A2AEB">
        <w:rPr>
          <w:rFonts w:asciiTheme="minorHAnsi" w:eastAsia="Calibri" w:hAnsiTheme="minorHAnsi"/>
          <w:sz w:val="22"/>
          <w:szCs w:val="22"/>
          <w:lang w:eastAsia="en-US"/>
        </w:rPr>
        <w:t>industry</w:t>
      </w:r>
      <w:r w:rsidR="005C33AD" w:rsidRPr="003A2AEB">
        <w:rPr>
          <w:rFonts w:asciiTheme="minorHAnsi" w:eastAsia="Calibri" w:hAnsiTheme="minorHAnsi"/>
          <w:sz w:val="22"/>
          <w:szCs w:val="22"/>
          <w:lang w:eastAsia="en-US"/>
        </w:rPr>
        <w:t>.</w:t>
      </w:r>
      <w:r w:rsidR="00CF4BE4" w:rsidRPr="003A2AEB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894363" w:rsidRPr="003A2AEB">
        <w:rPr>
          <w:rFonts w:asciiTheme="minorHAnsi" w:eastAsia="Calibri" w:hAnsiTheme="minorHAnsi"/>
          <w:sz w:val="22"/>
          <w:szCs w:val="22"/>
          <w:lang w:eastAsia="en-US"/>
        </w:rPr>
        <w:t>This compares to 21 alerts for the same period in 2019</w:t>
      </w:r>
      <w:r w:rsidR="00C561DB" w:rsidRPr="003A2AEB">
        <w:rPr>
          <w:rFonts w:asciiTheme="minorHAnsi" w:eastAsia="Calibri" w:hAnsiTheme="minorHAnsi"/>
          <w:sz w:val="22"/>
          <w:szCs w:val="22"/>
          <w:lang w:eastAsia="en-US"/>
        </w:rPr>
        <w:t xml:space="preserve">, a year </w:t>
      </w:r>
      <w:r w:rsidR="00C563D6" w:rsidRPr="003A2AEB">
        <w:rPr>
          <w:rFonts w:asciiTheme="minorHAnsi" w:eastAsia="Calibri" w:hAnsiTheme="minorHAnsi"/>
          <w:sz w:val="22"/>
          <w:szCs w:val="22"/>
          <w:lang w:eastAsia="en-US"/>
        </w:rPr>
        <w:t xml:space="preserve">in </w:t>
      </w:r>
      <w:r w:rsidR="00C561DB" w:rsidRPr="003A2AEB">
        <w:rPr>
          <w:rFonts w:asciiTheme="minorHAnsi" w:eastAsia="Calibri" w:hAnsiTheme="minorHAnsi"/>
          <w:sz w:val="22"/>
          <w:szCs w:val="22"/>
          <w:lang w:eastAsia="en-US"/>
        </w:rPr>
        <w:t xml:space="preserve">which the </w:t>
      </w:r>
      <w:r w:rsidR="00B84E77" w:rsidRPr="003A2AEB">
        <w:rPr>
          <w:rFonts w:asciiTheme="minorHAnsi" w:eastAsia="Calibri" w:hAnsiTheme="minorHAnsi"/>
          <w:sz w:val="22"/>
          <w:szCs w:val="22"/>
          <w:lang w:eastAsia="en-US"/>
        </w:rPr>
        <w:t xml:space="preserve">fewest </w:t>
      </w:r>
      <w:r w:rsidR="00C561DB" w:rsidRPr="003A2AEB">
        <w:rPr>
          <w:rFonts w:asciiTheme="minorHAnsi" w:eastAsia="Calibri" w:hAnsiTheme="minorHAnsi"/>
          <w:sz w:val="22"/>
          <w:szCs w:val="22"/>
          <w:lang w:eastAsia="en-US"/>
        </w:rPr>
        <w:t xml:space="preserve">alerts </w:t>
      </w:r>
      <w:r w:rsidR="00C563D6" w:rsidRPr="003A2AEB">
        <w:rPr>
          <w:rFonts w:asciiTheme="minorHAnsi" w:eastAsia="Calibri" w:hAnsiTheme="minorHAnsi"/>
          <w:sz w:val="22"/>
          <w:szCs w:val="22"/>
          <w:lang w:eastAsia="en-US"/>
        </w:rPr>
        <w:t xml:space="preserve">were recorded </w:t>
      </w:r>
      <w:r w:rsidR="00C561DB" w:rsidRPr="003A2AEB">
        <w:rPr>
          <w:rFonts w:asciiTheme="minorHAnsi" w:eastAsia="Calibri" w:hAnsiTheme="minorHAnsi"/>
          <w:sz w:val="22"/>
          <w:szCs w:val="22"/>
          <w:lang w:eastAsia="en-US"/>
        </w:rPr>
        <w:t>since data was first published in 2015.</w:t>
      </w:r>
    </w:p>
    <w:p w:rsidR="001A7EB3" w:rsidRPr="003A2AEB" w:rsidRDefault="002E5CE1" w:rsidP="002E5CE1">
      <w:pPr>
        <w:rPr>
          <w:rFonts w:asciiTheme="minorHAnsi" w:eastAsia="Calibri" w:hAnsiTheme="minorHAnsi"/>
          <w:sz w:val="22"/>
          <w:szCs w:val="22"/>
          <w:lang w:eastAsia="en-US"/>
        </w:rPr>
      </w:pPr>
      <w:r w:rsidRPr="003A2AEB">
        <w:rPr>
          <w:rFonts w:asciiTheme="minorHAnsi" w:eastAsia="Calibri" w:hAnsiTheme="minorHAnsi"/>
          <w:sz w:val="22"/>
          <w:szCs w:val="22"/>
          <w:lang w:eastAsia="en-US"/>
        </w:rPr>
        <w:t>The increase</w:t>
      </w:r>
      <w:r w:rsidR="00FB6379" w:rsidRPr="003A2AEB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58790B">
        <w:rPr>
          <w:rFonts w:asciiTheme="minorHAnsi" w:eastAsia="Calibri" w:hAnsiTheme="minorHAnsi"/>
          <w:sz w:val="22"/>
          <w:szCs w:val="22"/>
          <w:lang w:eastAsia="en-US"/>
        </w:rPr>
        <w:t xml:space="preserve">of reported matches </w:t>
      </w:r>
      <w:r w:rsidR="00FB6379" w:rsidRPr="003A2AEB">
        <w:rPr>
          <w:rFonts w:asciiTheme="minorHAnsi" w:eastAsia="Calibri" w:hAnsiTheme="minorHAnsi"/>
          <w:sz w:val="22"/>
          <w:szCs w:val="22"/>
          <w:lang w:eastAsia="en-US"/>
        </w:rPr>
        <w:t xml:space="preserve">in </w:t>
      </w:r>
      <w:r w:rsidR="00AF2FE3" w:rsidRPr="003A2AEB">
        <w:rPr>
          <w:rFonts w:asciiTheme="minorHAnsi" w:eastAsia="Calibri" w:hAnsiTheme="minorHAnsi"/>
          <w:sz w:val="22"/>
          <w:szCs w:val="22"/>
          <w:lang w:eastAsia="en-US"/>
        </w:rPr>
        <w:t xml:space="preserve">the first quarter of </w:t>
      </w:r>
      <w:r w:rsidR="00FB6379" w:rsidRPr="003A2AEB">
        <w:rPr>
          <w:rFonts w:asciiTheme="minorHAnsi" w:eastAsia="Calibri" w:hAnsiTheme="minorHAnsi"/>
          <w:sz w:val="22"/>
          <w:szCs w:val="22"/>
          <w:lang w:eastAsia="en-US"/>
        </w:rPr>
        <w:t>2020</w:t>
      </w:r>
      <w:r w:rsidRPr="003A2AEB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EC3C23" w:rsidRPr="003A2AEB">
        <w:rPr>
          <w:rFonts w:asciiTheme="minorHAnsi" w:eastAsia="Calibri" w:hAnsiTheme="minorHAnsi"/>
          <w:sz w:val="22"/>
          <w:szCs w:val="22"/>
          <w:lang w:eastAsia="en-US"/>
        </w:rPr>
        <w:t xml:space="preserve">is an </w:t>
      </w:r>
      <w:r w:rsidRPr="003A2AEB">
        <w:rPr>
          <w:rFonts w:asciiTheme="minorHAnsi" w:eastAsia="Calibri" w:hAnsiTheme="minorHAnsi"/>
          <w:sz w:val="22"/>
          <w:szCs w:val="22"/>
          <w:lang w:eastAsia="en-US"/>
        </w:rPr>
        <w:t>indicat</w:t>
      </w:r>
      <w:r w:rsidR="00EC3C23" w:rsidRPr="003A2AEB">
        <w:rPr>
          <w:rFonts w:asciiTheme="minorHAnsi" w:eastAsia="Calibri" w:hAnsiTheme="minorHAnsi"/>
          <w:sz w:val="22"/>
          <w:szCs w:val="22"/>
          <w:lang w:eastAsia="en-US"/>
        </w:rPr>
        <w:t xml:space="preserve">ion </w:t>
      </w:r>
      <w:r w:rsidRPr="003A2AEB">
        <w:rPr>
          <w:rFonts w:asciiTheme="minorHAnsi" w:eastAsia="Calibri" w:hAnsiTheme="minorHAnsi"/>
          <w:sz w:val="22"/>
          <w:szCs w:val="22"/>
          <w:lang w:eastAsia="en-US"/>
        </w:rPr>
        <w:t xml:space="preserve">that </w:t>
      </w:r>
      <w:r w:rsidR="00BD0B4D">
        <w:rPr>
          <w:rFonts w:asciiTheme="minorHAnsi" w:eastAsia="Calibri" w:hAnsiTheme="minorHAnsi"/>
          <w:sz w:val="22"/>
          <w:szCs w:val="22"/>
          <w:lang w:eastAsia="en-US"/>
        </w:rPr>
        <w:t xml:space="preserve">the </w:t>
      </w:r>
      <w:r w:rsidR="00EC3C23" w:rsidRPr="003A2AEB">
        <w:rPr>
          <w:rFonts w:asciiTheme="minorHAnsi" w:eastAsia="Calibri" w:hAnsiTheme="minorHAnsi"/>
          <w:sz w:val="22"/>
          <w:szCs w:val="22"/>
          <w:lang w:eastAsia="en-US"/>
        </w:rPr>
        <w:t>entry level</w:t>
      </w:r>
      <w:r w:rsidR="00BD0B4D">
        <w:rPr>
          <w:rFonts w:asciiTheme="minorHAnsi" w:eastAsia="Calibri" w:hAnsiTheme="minorHAnsi"/>
          <w:sz w:val="22"/>
          <w:szCs w:val="22"/>
          <w:lang w:eastAsia="en-US"/>
        </w:rPr>
        <w:t xml:space="preserve">s of </w:t>
      </w:r>
      <w:r w:rsidR="00EC3C23" w:rsidRPr="003A2AEB">
        <w:rPr>
          <w:rFonts w:asciiTheme="minorHAnsi" w:eastAsia="Calibri" w:hAnsiTheme="minorHAnsi"/>
          <w:sz w:val="22"/>
          <w:szCs w:val="22"/>
          <w:lang w:eastAsia="en-US"/>
        </w:rPr>
        <w:t xml:space="preserve">professional </w:t>
      </w:r>
      <w:r w:rsidRPr="003A2AEB">
        <w:rPr>
          <w:rFonts w:asciiTheme="minorHAnsi" w:eastAsia="Calibri" w:hAnsiTheme="minorHAnsi"/>
          <w:sz w:val="22"/>
          <w:szCs w:val="22"/>
          <w:lang w:eastAsia="en-US"/>
        </w:rPr>
        <w:t>tennis</w:t>
      </w:r>
      <w:r w:rsidR="00BD0B4D">
        <w:rPr>
          <w:rFonts w:asciiTheme="minorHAnsi" w:eastAsia="Calibri" w:hAnsiTheme="minorHAnsi"/>
          <w:sz w:val="22"/>
          <w:szCs w:val="22"/>
          <w:lang w:eastAsia="en-US"/>
        </w:rPr>
        <w:t xml:space="preserve"> were deliberately </w:t>
      </w:r>
      <w:r w:rsidR="00BD0B4D" w:rsidRPr="003A2AEB">
        <w:rPr>
          <w:rFonts w:asciiTheme="minorHAnsi" w:eastAsia="Calibri" w:hAnsiTheme="minorHAnsi"/>
          <w:sz w:val="22"/>
          <w:szCs w:val="22"/>
          <w:lang w:eastAsia="en-US"/>
        </w:rPr>
        <w:t>target</w:t>
      </w:r>
      <w:r w:rsidR="00852380">
        <w:rPr>
          <w:rFonts w:asciiTheme="minorHAnsi" w:eastAsia="Calibri" w:hAnsiTheme="minorHAnsi"/>
          <w:sz w:val="22"/>
          <w:szCs w:val="22"/>
          <w:lang w:eastAsia="en-US"/>
        </w:rPr>
        <w:t>ed by corrupto</w:t>
      </w:r>
      <w:r w:rsidR="00E86131">
        <w:rPr>
          <w:rFonts w:asciiTheme="minorHAnsi" w:eastAsia="Calibri" w:hAnsiTheme="minorHAnsi"/>
          <w:sz w:val="22"/>
          <w:szCs w:val="22"/>
          <w:lang w:eastAsia="en-US"/>
        </w:rPr>
        <w:t>r</w:t>
      </w:r>
      <w:r w:rsidR="00852380">
        <w:rPr>
          <w:rFonts w:asciiTheme="minorHAnsi" w:eastAsia="Calibri" w:hAnsiTheme="minorHAnsi"/>
          <w:sz w:val="22"/>
          <w:szCs w:val="22"/>
          <w:lang w:eastAsia="en-US"/>
        </w:rPr>
        <w:t>s</w:t>
      </w:r>
      <w:r w:rsidR="00E86131">
        <w:rPr>
          <w:rFonts w:asciiTheme="minorHAnsi" w:eastAsia="Calibri" w:hAnsiTheme="minorHAnsi"/>
          <w:sz w:val="22"/>
          <w:szCs w:val="22"/>
          <w:lang w:eastAsia="en-US"/>
        </w:rPr>
        <w:t>,</w:t>
      </w:r>
      <w:r w:rsidRPr="003A2AEB">
        <w:rPr>
          <w:rFonts w:asciiTheme="minorHAnsi" w:eastAsia="Calibri" w:hAnsiTheme="minorHAnsi"/>
          <w:sz w:val="22"/>
          <w:szCs w:val="22"/>
          <w:lang w:eastAsia="en-US"/>
        </w:rPr>
        <w:t xml:space="preserve"> as the sport </w:t>
      </w:r>
      <w:r w:rsidR="001E37E3" w:rsidRPr="003A2AEB">
        <w:rPr>
          <w:rFonts w:asciiTheme="minorHAnsi" w:eastAsia="Calibri" w:hAnsiTheme="minorHAnsi"/>
          <w:sz w:val="22"/>
          <w:szCs w:val="22"/>
          <w:lang w:eastAsia="en-US"/>
        </w:rPr>
        <w:t xml:space="preserve">moved towards </w:t>
      </w:r>
      <w:r w:rsidRPr="003A2AEB">
        <w:rPr>
          <w:rFonts w:asciiTheme="minorHAnsi" w:eastAsia="Calibri" w:hAnsiTheme="minorHAnsi"/>
          <w:sz w:val="22"/>
          <w:szCs w:val="22"/>
          <w:lang w:eastAsia="en-US"/>
        </w:rPr>
        <w:t>suspen</w:t>
      </w:r>
      <w:r w:rsidR="001E37E3" w:rsidRPr="003A2AEB">
        <w:rPr>
          <w:rFonts w:asciiTheme="minorHAnsi" w:eastAsia="Calibri" w:hAnsiTheme="minorHAnsi"/>
          <w:sz w:val="22"/>
          <w:szCs w:val="22"/>
          <w:lang w:eastAsia="en-US"/>
        </w:rPr>
        <w:t>sion</w:t>
      </w:r>
      <w:r w:rsidR="00922D46" w:rsidRPr="003A2AEB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852380">
        <w:rPr>
          <w:rFonts w:asciiTheme="minorHAnsi" w:eastAsia="Calibri" w:hAnsiTheme="minorHAnsi"/>
          <w:sz w:val="22"/>
          <w:szCs w:val="22"/>
          <w:lang w:eastAsia="en-US"/>
        </w:rPr>
        <w:t xml:space="preserve">due to </w:t>
      </w:r>
      <w:r w:rsidRPr="003A2AEB">
        <w:rPr>
          <w:rFonts w:asciiTheme="minorHAnsi" w:eastAsia="Calibri" w:hAnsiTheme="minorHAnsi"/>
          <w:sz w:val="22"/>
          <w:szCs w:val="22"/>
          <w:lang w:eastAsia="en-US"/>
        </w:rPr>
        <w:t>the</w:t>
      </w:r>
      <w:r w:rsidR="002E766B" w:rsidRPr="003A2AEB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3A2AEB">
        <w:rPr>
          <w:rFonts w:asciiTheme="minorHAnsi" w:eastAsia="Calibri" w:hAnsiTheme="minorHAnsi"/>
          <w:sz w:val="22"/>
          <w:szCs w:val="22"/>
          <w:lang w:eastAsia="en-US"/>
        </w:rPr>
        <w:t>Coronavirus pandemic</w:t>
      </w:r>
      <w:r w:rsidR="00FB6379" w:rsidRPr="003A2AEB">
        <w:rPr>
          <w:rFonts w:asciiTheme="minorHAnsi" w:eastAsia="Calibri" w:hAnsiTheme="minorHAnsi"/>
          <w:sz w:val="22"/>
          <w:szCs w:val="22"/>
          <w:lang w:eastAsia="en-US"/>
        </w:rPr>
        <w:t>.</w:t>
      </w:r>
      <w:r w:rsidR="004B1385" w:rsidRPr="003A2AEB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BF7985" w:rsidRPr="003A2AEB">
        <w:rPr>
          <w:rFonts w:asciiTheme="minorHAnsi" w:eastAsia="Calibri" w:hAnsiTheme="minorHAnsi"/>
          <w:sz w:val="22"/>
          <w:szCs w:val="22"/>
          <w:lang w:eastAsia="en-US"/>
        </w:rPr>
        <w:t>In anticipation of heightened integrity concerns when tennis resumes</w:t>
      </w:r>
      <w:r w:rsidR="00511458" w:rsidRPr="003A2AEB">
        <w:rPr>
          <w:rFonts w:asciiTheme="minorHAnsi" w:eastAsia="Calibri" w:hAnsiTheme="minorHAnsi"/>
          <w:sz w:val="22"/>
          <w:szCs w:val="22"/>
          <w:lang w:eastAsia="en-US"/>
        </w:rPr>
        <w:t xml:space="preserve">, </w:t>
      </w:r>
      <w:r w:rsidR="00BF7985" w:rsidRPr="003A2AEB">
        <w:rPr>
          <w:rFonts w:asciiTheme="minorHAnsi" w:eastAsia="Calibri" w:hAnsiTheme="minorHAnsi"/>
          <w:sz w:val="22"/>
          <w:szCs w:val="22"/>
          <w:lang w:eastAsia="en-US"/>
        </w:rPr>
        <w:t xml:space="preserve">the </w:t>
      </w:r>
      <w:r w:rsidR="004B1385" w:rsidRPr="003A2AEB">
        <w:rPr>
          <w:rFonts w:asciiTheme="minorHAnsi" w:eastAsia="Calibri" w:hAnsiTheme="minorHAnsi"/>
          <w:sz w:val="22"/>
          <w:szCs w:val="22"/>
          <w:lang w:eastAsia="en-US"/>
        </w:rPr>
        <w:t>TIU</w:t>
      </w:r>
      <w:r w:rsidR="001A7EB3" w:rsidRPr="003A2AEB">
        <w:rPr>
          <w:rFonts w:asciiTheme="minorHAnsi" w:eastAsia="Calibri" w:hAnsiTheme="minorHAnsi"/>
          <w:sz w:val="22"/>
          <w:szCs w:val="22"/>
          <w:lang w:eastAsia="en-US"/>
        </w:rPr>
        <w:t xml:space="preserve">, in conjunction </w:t>
      </w:r>
      <w:r w:rsidR="004B1385" w:rsidRPr="003A2AEB">
        <w:rPr>
          <w:rFonts w:asciiTheme="minorHAnsi" w:eastAsia="Calibri" w:hAnsiTheme="minorHAnsi"/>
          <w:sz w:val="22"/>
          <w:szCs w:val="22"/>
          <w:lang w:eastAsia="en-US"/>
        </w:rPr>
        <w:t xml:space="preserve">with the governing bodies of tennis, is developing an education and awareness </w:t>
      </w:r>
      <w:r w:rsidR="00BF7985" w:rsidRPr="003A2AEB">
        <w:rPr>
          <w:rFonts w:asciiTheme="minorHAnsi" w:eastAsia="Calibri" w:hAnsiTheme="minorHAnsi"/>
          <w:sz w:val="22"/>
          <w:szCs w:val="22"/>
          <w:lang w:eastAsia="en-US"/>
        </w:rPr>
        <w:t>campaign</w:t>
      </w:r>
      <w:r w:rsidR="001A7EB3" w:rsidRPr="003A2AEB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54680F" w:rsidRPr="0054680F">
        <w:rPr>
          <w:rFonts w:asciiTheme="minorHAnsi" w:eastAsia="Calibri" w:hAnsiTheme="minorHAnsi"/>
          <w:sz w:val="22"/>
          <w:szCs w:val="22"/>
          <w:lang w:eastAsia="en-US"/>
        </w:rPr>
        <w:t>to inform and support players</w:t>
      </w:r>
      <w:r w:rsidR="001A7EB3" w:rsidRPr="003A2AEB">
        <w:rPr>
          <w:rFonts w:asciiTheme="minorHAnsi" w:eastAsia="Calibri" w:hAnsiTheme="minorHAnsi"/>
          <w:sz w:val="22"/>
          <w:szCs w:val="22"/>
          <w:lang w:eastAsia="en-US"/>
        </w:rPr>
        <w:t>, officials and tournament staff</w:t>
      </w:r>
      <w:r w:rsidR="00511458" w:rsidRPr="003A2AEB">
        <w:rPr>
          <w:rFonts w:asciiTheme="minorHAnsi" w:eastAsia="Calibri" w:hAnsiTheme="minorHAnsi"/>
          <w:sz w:val="22"/>
          <w:szCs w:val="22"/>
          <w:lang w:eastAsia="en-US"/>
        </w:rPr>
        <w:t xml:space="preserve">. </w:t>
      </w:r>
      <w:r w:rsidR="001A7EB3" w:rsidRPr="003A2AEB">
        <w:rPr>
          <w:rFonts w:asciiTheme="minorHAnsi" w:eastAsia="Calibri" w:hAnsiTheme="minorHAnsi"/>
          <w:sz w:val="22"/>
          <w:szCs w:val="22"/>
          <w:lang w:eastAsia="en-US"/>
        </w:rPr>
        <w:t>Further details will be announced in due course.</w:t>
      </w:r>
    </w:p>
    <w:p w:rsidR="001A7EB3" w:rsidRDefault="001A7EB3" w:rsidP="002E5CE1">
      <w:pPr>
        <w:rPr>
          <w:rFonts w:asciiTheme="minorHAnsi" w:eastAsia="Calibri" w:hAnsiTheme="minorHAnsi"/>
          <w:sz w:val="20"/>
          <w:szCs w:val="20"/>
          <w:lang w:eastAsia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8"/>
        <w:gridCol w:w="707"/>
        <w:gridCol w:w="586"/>
        <w:gridCol w:w="602"/>
        <w:gridCol w:w="1065"/>
        <w:gridCol w:w="626"/>
        <w:gridCol w:w="625"/>
        <w:gridCol w:w="849"/>
        <w:gridCol w:w="849"/>
        <w:gridCol w:w="810"/>
        <w:gridCol w:w="849"/>
      </w:tblGrid>
      <w:tr w:rsidR="00D51B28" w:rsidTr="00206286">
        <w:trPr>
          <w:jc w:val="center"/>
        </w:trPr>
        <w:tc>
          <w:tcPr>
            <w:tcW w:w="728" w:type="dxa"/>
            <w:shd w:val="clear" w:color="auto" w:fill="D6E3BC" w:themeFill="accent3" w:themeFillTint="66"/>
          </w:tcPr>
          <w:p w:rsidR="00D51B28" w:rsidRPr="00D51B28" w:rsidRDefault="00D51B28" w:rsidP="00C959C9">
            <w:pPr>
              <w:keepNext/>
              <w:spacing w:before="120" w:after="120"/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</w:pPr>
            <w:r w:rsidRPr="00D51B28"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  <w:t>Total  Match Alerts</w:t>
            </w:r>
          </w:p>
          <w:p w:rsidR="00D51B28" w:rsidRPr="00D51B28" w:rsidRDefault="00BB1D68" w:rsidP="0015627B">
            <w:pPr>
              <w:keepNext/>
              <w:spacing w:before="120" w:after="120"/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  <w:t>Jan to  March</w:t>
            </w:r>
          </w:p>
        </w:tc>
        <w:tc>
          <w:tcPr>
            <w:tcW w:w="707" w:type="dxa"/>
            <w:shd w:val="clear" w:color="auto" w:fill="D6E3BC" w:themeFill="accent3" w:themeFillTint="66"/>
          </w:tcPr>
          <w:p w:rsidR="00D51B28" w:rsidRPr="00D51B28" w:rsidRDefault="00D51B28" w:rsidP="00625B60">
            <w:pPr>
              <w:keepNext/>
              <w:spacing w:before="120" w:after="120"/>
              <w:jc w:val="center"/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</w:pPr>
            <w:r w:rsidRPr="00D51B28"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  <w:t>Grand Slam</w:t>
            </w:r>
          </w:p>
        </w:tc>
        <w:tc>
          <w:tcPr>
            <w:tcW w:w="586" w:type="dxa"/>
            <w:shd w:val="clear" w:color="auto" w:fill="D6E3BC" w:themeFill="accent3" w:themeFillTint="66"/>
          </w:tcPr>
          <w:p w:rsidR="00D51B28" w:rsidRPr="00D51B28" w:rsidRDefault="00D51B28" w:rsidP="00625B60">
            <w:pPr>
              <w:keepNext/>
              <w:spacing w:before="120" w:after="120"/>
              <w:jc w:val="center"/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</w:pPr>
            <w:r w:rsidRPr="00D51B28"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  <w:t>ATP Tour</w:t>
            </w:r>
          </w:p>
        </w:tc>
        <w:tc>
          <w:tcPr>
            <w:tcW w:w="602" w:type="dxa"/>
            <w:shd w:val="clear" w:color="auto" w:fill="D6E3BC" w:themeFill="accent3" w:themeFillTint="66"/>
          </w:tcPr>
          <w:p w:rsidR="00D51B28" w:rsidRPr="00D51B28" w:rsidRDefault="00D51B28" w:rsidP="00625B60">
            <w:pPr>
              <w:keepNext/>
              <w:spacing w:before="120" w:after="120"/>
              <w:jc w:val="center"/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</w:pPr>
            <w:r w:rsidRPr="00D51B28"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  <w:t>WTA Tour</w:t>
            </w:r>
          </w:p>
        </w:tc>
        <w:tc>
          <w:tcPr>
            <w:tcW w:w="1065" w:type="dxa"/>
            <w:shd w:val="clear" w:color="auto" w:fill="D6E3BC" w:themeFill="accent3" w:themeFillTint="66"/>
          </w:tcPr>
          <w:p w:rsidR="00D51B28" w:rsidRPr="00D51B28" w:rsidRDefault="00D51B28" w:rsidP="00D41C50">
            <w:pPr>
              <w:keepNext/>
              <w:spacing w:before="120" w:after="120"/>
              <w:jc w:val="center"/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</w:pPr>
            <w:r w:rsidRPr="00D51B28"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  <w:t>ATP  Challenger</w:t>
            </w:r>
          </w:p>
        </w:tc>
        <w:tc>
          <w:tcPr>
            <w:tcW w:w="626" w:type="dxa"/>
            <w:shd w:val="clear" w:color="auto" w:fill="D6E3BC" w:themeFill="accent3" w:themeFillTint="66"/>
          </w:tcPr>
          <w:p w:rsidR="00D51B28" w:rsidRPr="00D51B28" w:rsidRDefault="00D51B28" w:rsidP="00D41C50">
            <w:pPr>
              <w:keepNext/>
              <w:spacing w:before="120" w:after="120"/>
              <w:jc w:val="center"/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</w:pPr>
            <w:r w:rsidRPr="00D51B28"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  <w:t xml:space="preserve">ITF  Men </w:t>
            </w:r>
          </w:p>
          <w:p w:rsidR="00D51B28" w:rsidRPr="00D51B28" w:rsidRDefault="00D51B28" w:rsidP="00D41C50">
            <w:pPr>
              <w:keepNext/>
              <w:spacing w:before="120" w:after="120"/>
              <w:jc w:val="center"/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</w:pPr>
            <w:r w:rsidRPr="00D51B28"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  <w:t>$15k</w:t>
            </w:r>
          </w:p>
        </w:tc>
        <w:tc>
          <w:tcPr>
            <w:tcW w:w="625" w:type="dxa"/>
            <w:shd w:val="clear" w:color="auto" w:fill="D6E3BC" w:themeFill="accent3" w:themeFillTint="66"/>
          </w:tcPr>
          <w:p w:rsidR="00D51B28" w:rsidRPr="00D51B28" w:rsidRDefault="00D51B28" w:rsidP="00D41C50">
            <w:pPr>
              <w:keepNext/>
              <w:spacing w:before="120" w:after="120"/>
              <w:jc w:val="center"/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</w:pPr>
            <w:r w:rsidRPr="00D51B28"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  <w:t xml:space="preserve">ITF  Men </w:t>
            </w:r>
          </w:p>
          <w:p w:rsidR="00D51B28" w:rsidRPr="00D51B28" w:rsidRDefault="00D51B28" w:rsidP="00D41C50">
            <w:pPr>
              <w:keepNext/>
              <w:spacing w:before="120" w:after="120"/>
              <w:jc w:val="center"/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</w:pPr>
            <w:r w:rsidRPr="00D51B28"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  <w:t>$25k</w:t>
            </w:r>
          </w:p>
        </w:tc>
        <w:tc>
          <w:tcPr>
            <w:tcW w:w="849" w:type="dxa"/>
            <w:shd w:val="clear" w:color="auto" w:fill="D6E3BC" w:themeFill="accent3" w:themeFillTint="66"/>
          </w:tcPr>
          <w:p w:rsidR="00D51B28" w:rsidRPr="00D51B28" w:rsidRDefault="00D51B28" w:rsidP="00BC5986">
            <w:pPr>
              <w:keepNext/>
              <w:spacing w:before="120" w:after="120"/>
              <w:jc w:val="center"/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</w:pPr>
            <w:r w:rsidRPr="00D51B28"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  <w:t>ITF  Women</w:t>
            </w:r>
          </w:p>
          <w:p w:rsidR="00D51B28" w:rsidRPr="00D51B28" w:rsidRDefault="00D51B28" w:rsidP="00BC5986">
            <w:pPr>
              <w:keepNext/>
              <w:spacing w:before="120" w:after="120"/>
              <w:jc w:val="center"/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</w:pPr>
            <w:r w:rsidRPr="00D51B28"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  <w:t>$15k</w:t>
            </w:r>
          </w:p>
        </w:tc>
        <w:tc>
          <w:tcPr>
            <w:tcW w:w="849" w:type="dxa"/>
            <w:shd w:val="clear" w:color="auto" w:fill="D6E3BC" w:themeFill="accent3" w:themeFillTint="66"/>
          </w:tcPr>
          <w:p w:rsidR="00D51B28" w:rsidRPr="00D51B28" w:rsidRDefault="00D51B28" w:rsidP="00625B60">
            <w:pPr>
              <w:keepNext/>
              <w:spacing w:before="120" w:after="120"/>
              <w:jc w:val="center"/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</w:pPr>
            <w:r w:rsidRPr="00D51B28"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  <w:t xml:space="preserve">ITF  Women </w:t>
            </w:r>
          </w:p>
          <w:p w:rsidR="00D51B28" w:rsidRPr="00D51B28" w:rsidRDefault="00D51B28" w:rsidP="00BC5986">
            <w:pPr>
              <w:keepNext/>
              <w:spacing w:before="120" w:after="120"/>
              <w:jc w:val="center"/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</w:pPr>
            <w:r w:rsidRPr="00D51B28"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  <w:t>$25k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:rsidR="00D51B28" w:rsidRDefault="00D51B28" w:rsidP="00625B60">
            <w:pPr>
              <w:keepNext/>
              <w:spacing w:before="120" w:after="120"/>
              <w:jc w:val="center"/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</w:pPr>
            <w:r w:rsidRPr="00D51B28"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  <w:t>ITF</w:t>
            </w:r>
            <w:r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  <w:t xml:space="preserve"> Women</w:t>
            </w:r>
          </w:p>
          <w:p w:rsidR="00D51B28" w:rsidRPr="00D51B28" w:rsidRDefault="00D51B28" w:rsidP="00C66EB9">
            <w:pPr>
              <w:keepNext/>
              <w:spacing w:before="120" w:after="120"/>
              <w:jc w:val="center"/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  <w:t>$60k</w:t>
            </w:r>
          </w:p>
        </w:tc>
        <w:tc>
          <w:tcPr>
            <w:tcW w:w="849" w:type="dxa"/>
            <w:shd w:val="clear" w:color="auto" w:fill="D6E3BC" w:themeFill="accent3" w:themeFillTint="66"/>
          </w:tcPr>
          <w:p w:rsidR="00D51B28" w:rsidRPr="00D51B28" w:rsidRDefault="00D51B28" w:rsidP="00CF4BE4">
            <w:pPr>
              <w:keepNext/>
              <w:spacing w:before="120" w:after="120"/>
              <w:jc w:val="center"/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</w:pPr>
            <w:r w:rsidRPr="00D51B28"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  <w:t>Davis, Fed</w:t>
            </w:r>
            <w:r w:rsidR="00CF4BE4"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  <w:t xml:space="preserve"> </w:t>
            </w:r>
            <w:r w:rsidRPr="00D51B28"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  <w:t xml:space="preserve">Cups </w:t>
            </w:r>
          </w:p>
        </w:tc>
      </w:tr>
      <w:tr w:rsidR="00D51B28" w:rsidTr="00206286">
        <w:trPr>
          <w:jc w:val="center"/>
        </w:trPr>
        <w:tc>
          <w:tcPr>
            <w:tcW w:w="728" w:type="dxa"/>
            <w:vAlign w:val="center"/>
          </w:tcPr>
          <w:p w:rsidR="00D51B28" w:rsidRPr="00BC5986" w:rsidRDefault="00DE21EC" w:rsidP="00DE21EC">
            <w:pPr>
              <w:keepNext/>
              <w:spacing w:before="120" w:after="120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707" w:type="dxa"/>
            <w:vAlign w:val="center"/>
          </w:tcPr>
          <w:p w:rsidR="00D51B28" w:rsidRPr="00CA2BD9" w:rsidRDefault="00D51B28" w:rsidP="00E52064">
            <w:pPr>
              <w:keepNext/>
              <w:spacing w:before="120" w:after="120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86" w:type="dxa"/>
            <w:vAlign w:val="center"/>
          </w:tcPr>
          <w:p w:rsidR="00D51B28" w:rsidRPr="00CA2BD9" w:rsidRDefault="00DE21EC" w:rsidP="00DE21EC">
            <w:pPr>
              <w:keepNext/>
              <w:spacing w:before="120" w:after="120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02" w:type="dxa"/>
            <w:vAlign w:val="center"/>
          </w:tcPr>
          <w:p w:rsidR="00D51B28" w:rsidRPr="00CA2BD9" w:rsidRDefault="00DE21EC" w:rsidP="00DE21EC">
            <w:pPr>
              <w:keepNext/>
              <w:spacing w:before="120" w:after="120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65" w:type="dxa"/>
            <w:vAlign w:val="center"/>
          </w:tcPr>
          <w:p w:rsidR="00D51B28" w:rsidRPr="00CA2BD9" w:rsidRDefault="00420C06" w:rsidP="00420C06">
            <w:pPr>
              <w:keepNext/>
              <w:spacing w:before="120" w:after="120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26" w:type="dxa"/>
            <w:vAlign w:val="center"/>
          </w:tcPr>
          <w:p w:rsidR="00D51B28" w:rsidRPr="00CA2BD9" w:rsidRDefault="00D51B28" w:rsidP="00420C06">
            <w:pPr>
              <w:keepNext/>
              <w:spacing w:before="120" w:after="120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1</w:t>
            </w:r>
            <w:r w:rsidR="00420C06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25" w:type="dxa"/>
          </w:tcPr>
          <w:p w:rsidR="00D51B28" w:rsidRDefault="00420C06" w:rsidP="00420C06">
            <w:pPr>
              <w:keepNext/>
              <w:spacing w:before="120" w:after="120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9" w:type="dxa"/>
            <w:vAlign w:val="center"/>
          </w:tcPr>
          <w:p w:rsidR="00D51B28" w:rsidRPr="00CA2BD9" w:rsidRDefault="00420C06" w:rsidP="00420C06">
            <w:pPr>
              <w:keepNext/>
              <w:spacing w:before="120" w:after="120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49" w:type="dxa"/>
          </w:tcPr>
          <w:p w:rsidR="00D51B28" w:rsidRDefault="00420C06" w:rsidP="00B530DD">
            <w:pPr>
              <w:keepNext/>
              <w:spacing w:before="120" w:after="120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0" w:type="dxa"/>
          </w:tcPr>
          <w:p w:rsidR="00D51B28" w:rsidRDefault="00420C06" w:rsidP="00420C06">
            <w:pPr>
              <w:keepNext/>
              <w:spacing w:before="120" w:after="120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9" w:type="dxa"/>
            <w:vAlign w:val="center"/>
          </w:tcPr>
          <w:p w:rsidR="00D51B28" w:rsidRPr="00CA2BD9" w:rsidRDefault="00D51B28" w:rsidP="00855495">
            <w:pPr>
              <w:keepNext/>
              <w:spacing w:before="120" w:after="120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0</w:t>
            </w:r>
          </w:p>
        </w:tc>
      </w:tr>
    </w:tbl>
    <w:p w:rsidR="003328ED" w:rsidRDefault="003328ED" w:rsidP="004F0A92">
      <w:pPr>
        <w:rPr>
          <w:rFonts w:asciiTheme="minorHAnsi" w:eastAsia="Calibri" w:hAnsiTheme="minorHAnsi"/>
          <w:sz w:val="22"/>
          <w:szCs w:val="22"/>
          <w:lang w:eastAsia="en-US"/>
        </w:rPr>
      </w:pPr>
    </w:p>
    <w:p w:rsidR="00DD36A8" w:rsidRPr="00A67483" w:rsidRDefault="00DD36A8" w:rsidP="003515CF">
      <w:pPr>
        <w:rPr>
          <w:rFonts w:asciiTheme="minorHAnsi" w:eastAsia="Calibri" w:hAnsiTheme="minorHAnsi"/>
          <w:b/>
          <w:sz w:val="20"/>
          <w:szCs w:val="20"/>
          <w:lang w:eastAsia="en-US"/>
        </w:rPr>
      </w:pPr>
      <w:r w:rsidRPr="00A67483">
        <w:rPr>
          <w:rFonts w:asciiTheme="minorHAnsi" w:eastAsia="Calibri" w:hAnsiTheme="minorHAnsi"/>
          <w:b/>
          <w:sz w:val="20"/>
          <w:szCs w:val="20"/>
          <w:lang w:eastAsia="en-US"/>
        </w:rPr>
        <w:t>TIU match alert policy</w:t>
      </w:r>
    </w:p>
    <w:p w:rsidR="00DD36A8" w:rsidRPr="00D92C56" w:rsidRDefault="00DD36A8" w:rsidP="003515CF">
      <w:pPr>
        <w:pStyle w:val="ListParagraph"/>
        <w:numPr>
          <w:ilvl w:val="0"/>
          <w:numId w:val="4"/>
        </w:numPr>
        <w:ind w:left="568" w:hanging="284"/>
        <w:contextualSpacing w:val="0"/>
        <w:rPr>
          <w:rFonts w:ascii="Calibri" w:hAnsi="Calibri"/>
          <w:sz w:val="20"/>
          <w:szCs w:val="20"/>
        </w:rPr>
      </w:pPr>
      <w:r w:rsidRPr="00D92C56">
        <w:rPr>
          <w:rFonts w:ascii="Calibri" w:hAnsi="Calibri"/>
          <w:sz w:val="20"/>
          <w:szCs w:val="20"/>
        </w:rPr>
        <w:t xml:space="preserve">every alert </w:t>
      </w:r>
      <w:r w:rsidR="00DD23FC">
        <w:rPr>
          <w:rFonts w:ascii="Calibri" w:hAnsi="Calibri"/>
          <w:sz w:val="20"/>
          <w:szCs w:val="20"/>
        </w:rPr>
        <w:t xml:space="preserve">reported to the TIU </w:t>
      </w:r>
      <w:r w:rsidRPr="00D92C56">
        <w:rPr>
          <w:rFonts w:ascii="Calibri" w:hAnsi="Calibri"/>
          <w:sz w:val="20"/>
          <w:szCs w:val="20"/>
        </w:rPr>
        <w:t xml:space="preserve">is </w:t>
      </w:r>
      <w:r w:rsidR="00DD23FC">
        <w:rPr>
          <w:rFonts w:ascii="Calibri" w:hAnsi="Calibri"/>
          <w:sz w:val="20"/>
          <w:szCs w:val="20"/>
        </w:rPr>
        <w:t xml:space="preserve">recorded, </w:t>
      </w:r>
      <w:r w:rsidRPr="00D92C56">
        <w:rPr>
          <w:rFonts w:ascii="Calibri" w:hAnsi="Calibri"/>
          <w:sz w:val="20"/>
          <w:szCs w:val="20"/>
        </w:rPr>
        <w:t xml:space="preserve">assessed and followed up as an indicator that something inappropriate </w:t>
      </w:r>
      <w:r w:rsidRPr="00D92C56">
        <w:rPr>
          <w:rFonts w:ascii="Calibri" w:hAnsi="Calibri"/>
          <w:i/>
          <w:iCs/>
          <w:sz w:val="20"/>
          <w:szCs w:val="20"/>
        </w:rPr>
        <w:t>may have happened</w:t>
      </w:r>
      <w:r w:rsidRPr="00D92C56">
        <w:rPr>
          <w:rFonts w:ascii="Calibri" w:hAnsi="Calibri"/>
          <w:sz w:val="20"/>
          <w:szCs w:val="20"/>
        </w:rPr>
        <w:t>.</w:t>
      </w:r>
      <w:r w:rsidR="005B1044">
        <w:rPr>
          <w:rFonts w:ascii="Calibri" w:hAnsi="Calibri"/>
          <w:sz w:val="20"/>
          <w:szCs w:val="20"/>
        </w:rPr>
        <w:t xml:space="preserve"> </w:t>
      </w:r>
      <w:r w:rsidRPr="00D92C56">
        <w:rPr>
          <w:rFonts w:ascii="Calibri" w:hAnsi="Calibri"/>
          <w:sz w:val="20"/>
          <w:szCs w:val="20"/>
        </w:rPr>
        <w:t xml:space="preserve"> It is important to appreciate that an alert on its own is </w:t>
      </w:r>
      <w:r w:rsidRPr="00D92C56">
        <w:rPr>
          <w:rFonts w:ascii="Calibri" w:hAnsi="Calibri"/>
          <w:i/>
          <w:iCs/>
          <w:sz w:val="20"/>
          <w:szCs w:val="20"/>
        </w:rPr>
        <w:t>not evidence</w:t>
      </w:r>
      <w:r w:rsidRPr="00D92C56">
        <w:rPr>
          <w:rFonts w:ascii="Calibri" w:hAnsi="Calibri"/>
          <w:sz w:val="20"/>
          <w:szCs w:val="20"/>
        </w:rPr>
        <w:t xml:space="preserve"> of match-fixing</w:t>
      </w:r>
      <w:r w:rsidR="003A2201">
        <w:rPr>
          <w:rFonts w:ascii="Calibri" w:hAnsi="Calibri"/>
          <w:sz w:val="20"/>
          <w:szCs w:val="20"/>
        </w:rPr>
        <w:t>;</w:t>
      </w:r>
      <w:r w:rsidRPr="00D92C56">
        <w:rPr>
          <w:rFonts w:ascii="Calibri" w:hAnsi="Calibri"/>
          <w:sz w:val="20"/>
          <w:szCs w:val="20"/>
        </w:rPr>
        <w:t xml:space="preserve"> </w:t>
      </w:r>
    </w:p>
    <w:p w:rsidR="00DD36A8" w:rsidRPr="00D92C56" w:rsidRDefault="00DD36A8" w:rsidP="00A67483">
      <w:pPr>
        <w:pStyle w:val="ListParagraph"/>
        <w:numPr>
          <w:ilvl w:val="0"/>
          <w:numId w:val="4"/>
        </w:numPr>
        <w:ind w:left="568" w:hanging="284"/>
        <w:contextualSpacing w:val="0"/>
        <w:rPr>
          <w:rFonts w:ascii="Calibri" w:hAnsi="Calibri"/>
          <w:sz w:val="20"/>
          <w:szCs w:val="20"/>
        </w:rPr>
      </w:pPr>
      <w:r w:rsidRPr="00D92C56">
        <w:rPr>
          <w:rFonts w:ascii="Calibri" w:hAnsi="Calibri"/>
          <w:sz w:val="20"/>
          <w:szCs w:val="20"/>
        </w:rPr>
        <w:t>there are many reasons other than corrupt activity that can explain unusual betting patterns, such as incorrect odds-setting; well-informed betting; player fitness, fatigue and form; playing conditions and personal circumstances</w:t>
      </w:r>
      <w:r w:rsidR="003A2201">
        <w:rPr>
          <w:rFonts w:ascii="Calibri" w:hAnsi="Calibri"/>
          <w:sz w:val="20"/>
          <w:szCs w:val="20"/>
        </w:rPr>
        <w:t xml:space="preserve">; </w:t>
      </w:r>
    </w:p>
    <w:p w:rsidR="00DD36A8" w:rsidRDefault="00DD36A8" w:rsidP="00A67483">
      <w:pPr>
        <w:pStyle w:val="ListParagraph"/>
        <w:numPr>
          <w:ilvl w:val="0"/>
          <w:numId w:val="4"/>
        </w:numPr>
        <w:ind w:left="568" w:hanging="284"/>
        <w:contextualSpacing w:val="0"/>
        <w:rPr>
          <w:rFonts w:ascii="Calibri" w:hAnsi="Calibri"/>
          <w:sz w:val="20"/>
          <w:szCs w:val="20"/>
        </w:rPr>
      </w:pPr>
      <w:r w:rsidRPr="00D92C56">
        <w:rPr>
          <w:rFonts w:ascii="Calibri" w:hAnsi="Calibri"/>
          <w:sz w:val="20"/>
          <w:szCs w:val="20"/>
        </w:rPr>
        <w:t>where analysis of a match alert does suggest corrupt activity, the TIU will conduct a full</w:t>
      </w:r>
      <w:r w:rsidR="00A67483">
        <w:rPr>
          <w:rFonts w:ascii="Calibri" w:hAnsi="Calibri"/>
          <w:sz w:val="20"/>
          <w:szCs w:val="20"/>
        </w:rPr>
        <w:t xml:space="preserve">, </w:t>
      </w:r>
      <w:r w:rsidR="003515CF">
        <w:rPr>
          <w:rFonts w:ascii="Calibri" w:hAnsi="Calibri"/>
          <w:sz w:val="20"/>
          <w:szCs w:val="20"/>
        </w:rPr>
        <w:t xml:space="preserve">confidential </w:t>
      </w:r>
      <w:r w:rsidR="003515CF" w:rsidRPr="00D92C56">
        <w:rPr>
          <w:rFonts w:ascii="Calibri" w:hAnsi="Calibri"/>
          <w:sz w:val="20"/>
          <w:szCs w:val="20"/>
        </w:rPr>
        <w:t>investigation</w:t>
      </w:r>
      <w:r w:rsidR="003A2201">
        <w:rPr>
          <w:rFonts w:ascii="Calibri" w:hAnsi="Calibri"/>
          <w:sz w:val="20"/>
          <w:szCs w:val="20"/>
        </w:rPr>
        <w:t>.</w:t>
      </w:r>
    </w:p>
    <w:p w:rsidR="003515CF" w:rsidRPr="003515CF" w:rsidRDefault="003515CF" w:rsidP="003515CF">
      <w:pPr>
        <w:rPr>
          <w:rFonts w:ascii="Calibri" w:hAnsi="Calibri"/>
          <w:sz w:val="20"/>
          <w:szCs w:val="20"/>
        </w:rPr>
      </w:pPr>
    </w:p>
    <w:p w:rsidR="000F4D7D" w:rsidRDefault="000F4D7D" w:rsidP="005D60E7">
      <w:pPr>
        <w:rPr>
          <w:rFonts w:asciiTheme="minorHAnsi" w:eastAsia="Calibri" w:hAnsiTheme="minorHAnsi"/>
          <w:b/>
          <w:sz w:val="20"/>
          <w:szCs w:val="20"/>
          <w:u w:val="single"/>
          <w:lang w:eastAsia="en-US"/>
        </w:rPr>
      </w:pPr>
      <w:r w:rsidRPr="00E86131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New CEO joins the</w:t>
      </w:r>
      <w:r>
        <w:rPr>
          <w:rFonts w:asciiTheme="minorHAnsi" w:eastAsia="Calibri" w:hAnsiTheme="minorHAnsi"/>
          <w:b/>
          <w:sz w:val="20"/>
          <w:szCs w:val="20"/>
          <w:u w:val="single"/>
          <w:lang w:eastAsia="en-US"/>
        </w:rPr>
        <w:t xml:space="preserve"> TIU</w:t>
      </w:r>
    </w:p>
    <w:p w:rsidR="008F1B11" w:rsidRPr="00E86131" w:rsidRDefault="000F4D7D" w:rsidP="005D60E7">
      <w:pPr>
        <w:rPr>
          <w:rFonts w:asciiTheme="minorHAnsi" w:eastAsia="Calibri" w:hAnsiTheme="minorHAnsi"/>
          <w:sz w:val="22"/>
          <w:szCs w:val="22"/>
          <w:lang w:eastAsia="en-US"/>
        </w:rPr>
      </w:pPr>
      <w:r w:rsidRPr="00E86131">
        <w:rPr>
          <w:rFonts w:asciiTheme="minorHAnsi" w:eastAsia="Calibri" w:hAnsiTheme="minorHAnsi"/>
          <w:sz w:val="22"/>
          <w:szCs w:val="22"/>
          <w:lang w:eastAsia="en-US"/>
        </w:rPr>
        <w:t xml:space="preserve">Jonny Gray became the first Chief Executive Officer of the TIU when he joined the organisation in mid-February. </w:t>
      </w:r>
      <w:r w:rsidR="00936AB0" w:rsidRPr="00E86131">
        <w:rPr>
          <w:rFonts w:asciiTheme="minorHAnsi" w:eastAsia="Calibri" w:hAnsiTheme="minorHAnsi"/>
          <w:sz w:val="22"/>
          <w:szCs w:val="22"/>
          <w:lang w:eastAsia="en-US"/>
        </w:rPr>
        <w:t>A former Colonel in the British Army and senior partner with Cont</w:t>
      </w:r>
      <w:r w:rsidR="00F707CE" w:rsidRPr="00E86131">
        <w:rPr>
          <w:rFonts w:asciiTheme="minorHAnsi" w:eastAsia="Calibri" w:hAnsiTheme="minorHAnsi"/>
          <w:sz w:val="22"/>
          <w:szCs w:val="22"/>
          <w:lang w:eastAsia="en-US"/>
        </w:rPr>
        <w:t xml:space="preserve">rol </w:t>
      </w:r>
      <w:r w:rsidR="00936AB0" w:rsidRPr="00E86131">
        <w:rPr>
          <w:rFonts w:asciiTheme="minorHAnsi" w:eastAsia="Calibri" w:hAnsiTheme="minorHAnsi"/>
          <w:sz w:val="22"/>
          <w:szCs w:val="22"/>
          <w:lang w:eastAsia="en-US"/>
        </w:rPr>
        <w:t xml:space="preserve">Risks, </w:t>
      </w:r>
      <w:r w:rsidR="00F707CE" w:rsidRPr="00E86131">
        <w:rPr>
          <w:rFonts w:asciiTheme="minorHAnsi" w:eastAsia="Calibri" w:hAnsiTheme="minorHAnsi"/>
          <w:sz w:val="22"/>
          <w:szCs w:val="22"/>
          <w:lang w:eastAsia="en-US"/>
        </w:rPr>
        <w:t>he will be responsible for implementing the integrity recommendations of the Independent Review Panel</w:t>
      </w:r>
      <w:r w:rsidR="002D0EDE" w:rsidRPr="00E86131">
        <w:rPr>
          <w:rFonts w:asciiTheme="minorHAnsi" w:eastAsia="Calibri" w:hAnsiTheme="minorHAnsi"/>
          <w:sz w:val="22"/>
          <w:szCs w:val="22"/>
          <w:lang w:eastAsia="en-US"/>
        </w:rPr>
        <w:t xml:space="preserve">, which include the </w:t>
      </w:r>
      <w:r w:rsidR="008F1B11" w:rsidRPr="00E86131">
        <w:rPr>
          <w:rFonts w:asciiTheme="minorHAnsi" w:eastAsia="Calibri" w:hAnsiTheme="minorHAnsi"/>
          <w:sz w:val="22"/>
          <w:szCs w:val="22"/>
          <w:lang w:eastAsia="en-US"/>
        </w:rPr>
        <w:t>establishment of a new, independent integrity organisation with a separate legal personality.</w:t>
      </w:r>
    </w:p>
    <w:p w:rsidR="001D6969" w:rsidRDefault="001D6969" w:rsidP="005D60E7">
      <w:pPr>
        <w:rPr>
          <w:rFonts w:asciiTheme="minorHAnsi" w:eastAsia="Calibri" w:hAnsiTheme="minorHAnsi"/>
          <w:b/>
          <w:sz w:val="20"/>
          <w:szCs w:val="20"/>
          <w:u w:val="single"/>
          <w:lang w:eastAsia="en-US"/>
        </w:rPr>
      </w:pPr>
    </w:p>
    <w:p w:rsidR="00BB1D68" w:rsidRPr="001D6969" w:rsidRDefault="00BB1D68" w:rsidP="005D60E7">
      <w:pPr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  <w:r w:rsidRPr="001D6969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TIU Education update</w:t>
      </w:r>
      <w:r w:rsidR="00E846BE" w:rsidRPr="001D6969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 xml:space="preserve">; Australian Open, WTT $15,000 pilot, </w:t>
      </w:r>
      <w:r w:rsidR="003A2AEB" w:rsidRPr="001D6969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online education during suspension of tennis</w:t>
      </w:r>
    </w:p>
    <w:p w:rsidR="00F30D83" w:rsidRDefault="00E75C66" w:rsidP="00F30D83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436A7">
        <w:rPr>
          <w:rFonts w:asciiTheme="minorHAnsi" w:eastAsia="Calibri" w:hAnsiTheme="minorHAnsi" w:cstheme="minorHAnsi"/>
          <w:sz w:val="22"/>
          <w:szCs w:val="22"/>
          <w:lang w:eastAsia="en-US"/>
        </w:rPr>
        <w:t>January’s Australian Open</w:t>
      </w:r>
      <w:r w:rsidR="004948A8" w:rsidRPr="00E436A7">
        <w:rPr>
          <w:rFonts w:asciiTheme="minorHAnsi" w:hAnsiTheme="minorHAnsi" w:cstheme="minorHAnsi"/>
          <w:sz w:val="22"/>
          <w:szCs w:val="22"/>
        </w:rPr>
        <w:t xml:space="preserve"> saw more than </w:t>
      </w:r>
      <w:r w:rsidR="00E66D7B">
        <w:rPr>
          <w:rFonts w:asciiTheme="minorHAnsi" w:hAnsiTheme="minorHAnsi" w:cstheme="minorHAnsi"/>
          <w:sz w:val="22"/>
          <w:szCs w:val="22"/>
        </w:rPr>
        <w:t xml:space="preserve">650 </w:t>
      </w:r>
      <w:r w:rsidR="00E436A7" w:rsidRPr="00E436A7">
        <w:rPr>
          <w:rFonts w:asciiTheme="minorHAnsi" w:eastAsia="Calibri" w:hAnsiTheme="minorHAnsi" w:cstheme="minorHAnsi"/>
          <w:sz w:val="22"/>
          <w:szCs w:val="22"/>
          <w:lang w:eastAsia="en-US"/>
        </w:rPr>
        <w:t>officials</w:t>
      </w:r>
      <w:r w:rsidR="004858C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="001D696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main draw and </w:t>
      </w:r>
      <w:r w:rsidR="004858CC">
        <w:rPr>
          <w:rFonts w:asciiTheme="minorHAnsi" w:eastAsia="Calibri" w:hAnsiTheme="minorHAnsi" w:cstheme="minorHAnsi"/>
          <w:sz w:val="22"/>
          <w:szCs w:val="22"/>
          <w:lang w:eastAsia="en-US"/>
        </w:rPr>
        <w:t>junior</w:t>
      </w:r>
      <w:r w:rsidR="001D696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867E9D">
        <w:rPr>
          <w:rFonts w:asciiTheme="minorHAnsi" w:eastAsia="Calibri" w:hAnsiTheme="minorHAnsi" w:cstheme="minorHAnsi"/>
          <w:sz w:val="22"/>
          <w:szCs w:val="22"/>
          <w:lang w:eastAsia="en-US"/>
        </w:rPr>
        <w:t>players</w:t>
      </w:r>
      <w:r w:rsidR="00DA4F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436A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receive integrity </w:t>
      </w:r>
      <w:r w:rsidR="00E436A7" w:rsidRPr="00E436A7">
        <w:rPr>
          <w:rFonts w:asciiTheme="minorHAnsi" w:eastAsia="Calibri" w:hAnsiTheme="minorHAnsi" w:cstheme="minorHAnsi"/>
          <w:sz w:val="22"/>
          <w:szCs w:val="22"/>
          <w:lang w:eastAsia="en-US"/>
        </w:rPr>
        <w:t>brief</w:t>
      </w:r>
      <w:r w:rsidR="00E436A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ings </w:t>
      </w:r>
      <w:r w:rsidR="0024377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and one-to-one sessions </w:t>
      </w:r>
      <w:r w:rsidR="00E436A7" w:rsidRPr="00E436A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ahead of </w:t>
      </w:r>
      <w:r w:rsidR="00DA4F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and during </w:t>
      </w:r>
      <w:r w:rsidR="00E436A7" w:rsidRPr="00E436A7">
        <w:rPr>
          <w:rFonts w:asciiTheme="minorHAnsi" w:eastAsia="Calibri" w:hAnsiTheme="minorHAnsi" w:cstheme="minorHAnsi"/>
          <w:sz w:val="22"/>
          <w:szCs w:val="22"/>
          <w:lang w:eastAsia="en-US"/>
        </w:rPr>
        <w:t>the tournament</w:t>
      </w:r>
      <w:r w:rsidR="00E436A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 w:rsidR="00E436A7" w:rsidRPr="00E436A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24377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Bespoke education sessions were also delivered to </w:t>
      </w:r>
      <w:r w:rsidR="00DA4F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ATP coaches and </w:t>
      </w:r>
      <w:r w:rsidR="0024377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the </w:t>
      </w:r>
      <w:r w:rsidR="0073022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ATP’s </w:t>
      </w:r>
      <w:r w:rsidR="00243779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4948A8" w:rsidRPr="00E436A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nternational </w:t>
      </w:r>
      <w:r w:rsidR="00243779">
        <w:rPr>
          <w:rFonts w:asciiTheme="minorHAnsi" w:eastAsia="Calibri" w:hAnsiTheme="minorHAnsi" w:cstheme="minorHAnsi"/>
          <w:sz w:val="22"/>
          <w:szCs w:val="22"/>
          <w:lang w:eastAsia="en-US"/>
        </w:rPr>
        <w:t>g</w:t>
      </w:r>
      <w:r w:rsidR="004948A8" w:rsidRPr="00E436A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roup </w:t>
      </w:r>
      <w:r w:rsidR="00867E9D">
        <w:rPr>
          <w:rFonts w:asciiTheme="minorHAnsi" w:eastAsia="Calibri" w:hAnsiTheme="minorHAnsi" w:cstheme="minorHAnsi"/>
          <w:sz w:val="22"/>
          <w:szCs w:val="22"/>
          <w:lang w:eastAsia="en-US"/>
        </w:rPr>
        <w:t>t</w:t>
      </w:r>
      <w:r w:rsidR="004948A8" w:rsidRPr="00E436A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ournament </w:t>
      </w:r>
      <w:r w:rsidR="00867E9D">
        <w:rPr>
          <w:rFonts w:asciiTheme="minorHAnsi" w:eastAsia="Calibri" w:hAnsiTheme="minorHAnsi" w:cstheme="minorHAnsi"/>
          <w:sz w:val="22"/>
          <w:szCs w:val="22"/>
          <w:lang w:eastAsia="en-US"/>
        </w:rPr>
        <w:t>d</w:t>
      </w:r>
      <w:r w:rsidR="004948A8" w:rsidRPr="00E436A7">
        <w:rPr>
          <w:rFonts w:asciiTheme="minorHAnsi" w:eastAsia="Calibri" w:hAnsiTheme="minorHAnsi" w:cstheme="minorHAnsi"/>
          <w:sz w:val="22"/>
          <w:szCs w:val="22"/>
          <w:lang w:eastAsia="en-US"/>
        </w:rPr>
        <w:t>irectors</w:t>
      </w:r>
      <w:r w:rsidR="00867E9D">
        <w:rPr>
          <w:rFonts w:asciiTheme="minorHAnsi" w:eastAsia="Calibri" w:hAnsiTheme="minorHAnsi" w:cstheme="minorHAnsi"/>
          <w:sz w:val="22"/>
          <w:szCs w:val="22"/>
          <w:lang w:eastAsia="en-US"/>
        </w:rPr>
        <w:t>’</w:t>
      </w:r>
      <w:r w:rsidR="004948A8" w:rsidRPr="00E436A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867E9D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="004948A8" w:rsidRPr="00E436A7">
        <w:rPr>
          <w:rFonts w:asciiTheme="minorHAnsi" w:eastAsia="Calibri" w:hAnsiTheme="minorHAnsi" w:cstheme="minorHAnsi"/>
          <w:sz w:val="22"/>
          <w:szCs w:val="22"/>
          <w:lang w:eastAsia="en-US"/>
        </w:rPr>
        <w:t>orkshop</w:t>
      </w:r>
      <w:r w:rsidR="00867E9D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A75BA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867E9D">
        <w:rPr>
          <w:rFonts w:ascii="Calibri" w:eastAsia="Calibri" w:hAnsi="Calibri" w:cs="Calibri"/>
          <w:sz w:val="22"/>
          <w:szCs w:val="22"/>
          <w:lang w:eastAsia="en-US"/>
        </w:rPr>
        <w:t xml:space="preserve">In </w:t>
      </w:r>
      <w:r w:rsidR="00A83708">
        <w:rPr>
          <w:rFonts w:ascii="Calibri" w:eastAsia="Calibri" w:hAnsi="Calibri" w:cs="Calibri"/>
          <w:sz w:val="22"/>
          <w:szCs w:val="22"/>
          <w:lang w:eastAsia="en-US"/>
        </w:rPr>
        <w:t xml:space="preserve">February, </w:t>
      </w:r>
      <w:r w:rsidR="00132152"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="00867E9D">
        <w:rPr>
          <w:rFonts w:ascii="Calibri" w:eastAsia="Calibri" w:hAnsi="Calibri" w:cs="Calibri"/>
          <w:sz w:val="22"/>
          <w:szCs w:val="22"/>
          <w:lang w:eastAsia="en-US"/>
        </w:rPr>
        <w:t xml:space="preserve"> pilot </w:t>
      </w:r>
      <w:r w:rsidR="00132152"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="00A83708" w:rsidRPr="00A8370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ducation outreach </w:t>
      </w:r>
      <w:r w:rsidR="0013215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project </w:t>
      </w:r>
      <w:r w:rsidR="006470A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took place </w:t>
      </w:r>
      <w:r w:rsidR="006470A6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at the ITF World Tennis Tour combined $15,000 event in </w:t>
      </w:r>
      <w:r w:rsidR="00A83708" w:rsidRPr="00A83708">
        <w:rPr>
          <w:rFonts w:asciiTheme="minorHAnsi" w:eastAsia="Calibri" w:hAnsiTheme="minorHAnsi" w:cstheme="minorHAnsi"/>
          <w:sz w:val="22"/>
          <w:szCs w:val="22"/>
          <w:lang w:eastAsia="en-US"/>
        </w:rPr>
        <w:t>Heraklion, Crete</w:t>
      </w:r>
      <w:r w:rsidR="006470A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This </w:t>
      </w:r>
      <w:r w:rsidR="000D28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new initiative </w:t>
      </w:r>
      <w:r w:rsidR="006470A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included </w:t>
      </w:r>
      <w:r w:rsidR="00A83708" w:rsidRPr="00A83708">
        <w:rPr>
          <w:rFonts w:asciiTheme="minorHAnsi" w:eastAsia="Calibri" w:hAnsiTheme="minorHAnsi" w:cstheme="minorHAnsi"/>
          <w:sz w:val="22"/>
          <w:szCs w:val="22"/>
          <w:lang w:eastAsia="en-US"/>
        </w:rPr>
        <w:t>presentations and an integrity pledge campaign for players, coaches, officials and tournament staff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. More than</w:t>
      </w:r>
      <w:r w:rsidR="00A83708" w:rsidRPr="00A8370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100 players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received </w:t>
      </w:r>
      <w:r w:rsidR="00A83708" w:rsidRPr="00A83708">
        <w:rPr>
          <w:rFonts w:asciiTheme="minorHAnsi" w:eastAsia="Calibri" w:hAnsiTheme="minorHAnsi" w:cstheme="minorHAnsi"/>
          <w:sz w:val="22"/>
          <w:szCs w:val="22"/>
          <w:lang w:eastAsia="en-US"/>
        </w:rPr>
        <w:t>face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-</w:t>
      </w:r>
      <w:r w:rsidR="00A83708" w:rsidRPr="00A83708">
        <w:rPr>
          <w:rFonts w:asciiTheme="minorHAnsi" w:eastAsia="Calibri" w:hAnsiTheme="minorHAnsi" w:cstheme="minorHAnsi"/>
          <w:sz w:val="22"/>
          <w:szCs w:val="22"/>
          <w:lang w:eastAsia="en-US"/>
        </w:rPr>
        <w:t>to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-</w:t>
      </w:r>
      <w:r w:rsidR="00A83708" w:rsidRPr="00A8370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face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education, </w:t>
      </w:r>
      <w:r w:rsidR="00A83708" w:rsidRPr="00A83708">
        <w:rPr>
          <w:rFonts w:asciiTheme="minorHAnsi" w:eastAsia="Calibri" w:hAnsiTheme="minorHAnsi" w:cstheme="minorHAnsi"/>
          <w:sz w:val="22"/>
          <w:szCs w:val="22"/>
          <w:lang w:eastAsia="en-US"/>
        </w:rPr>
        <w:t>alongside all tournament officials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F30D8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:rsidR="00F2174B" w:rsidRDefault="00F30D83" w:rsidP="00F2174B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C</w:t>
      </w:r>
      <w:r w:rsidR="00A83708" w:rsidRPr="00A83708">
        <w:rPr>
          <w:rFonts w:asciiTheme="minorHAnsi" w:eastAsia="Calibri" w:hAnsiTheme="minorHAnsi" w:cstheme="minorHAnsi"/>
          <w:sz w:val="22"/>
          <w:szCs w:val="22"/>
          <w:lang w:eastAsia="en-US"/>
        </w:rPr>
        <w:t>ol</w:t>
      </w:r>
      <w:r w:rsidR="00D93B9C"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A83708" w:rsidRPr="00A83708">
        <w:rPr>
          <w:rFonts w:asciiTheme="minorHAnsi" w:eastAsia="Calibri" w:hAnsiTheme="minorHAnsi" w:cstheme="minorHAnsi"/>
          <w:sz w:val="22"/>
          <w:szCs w:val="22"/>
          <w:lang w:eastAsia="en-US"/>
        </w:rPr>
        <w:t>mbia became the second nation to complete the TIU’s integrity criteria as part of the ITF Recognition of National Training Centres Programme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Six </w:t>
      </w:r>
      <w:r w:rsidR="00A83708" w:rsidRPr="00A8370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further </w:t>
      </w:r>
      <w:bookmarkStart w:id="0" w:name="_GoBack"/>
      <w:bookmarkEnd w:id="0"/>
      <w:r w:rsidR="00A83708" w:rsidRPr="00A83708">
        <w:rPr>
          <w:rFonts w:asciiTheme="minorHAnsi" w:eastAsia="Calibri" w:hAnsiTheme="minorHAnsi" w:cstheme="minorHAnsi"/>
          <w:sz w:val="22"/>
          <w:szCs w:val="22"/>
          <w:lang w:eastAsia="en-US"/>
        </w:rPr>
        <w:t>nations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are being supported as they work towards </w:t>
      </w:r>
      <w:r w:rsidR="00F2174B">
        <w:rPr>
          <w:rFonts w:asciiTheme="minorHAnsi" w:eastAsia="Calibri" w:hAnsiTheme="minorHAnsi" w:cstheme="minorHAnsi"/>
          <w:sz w:val="22"/>
          <w:szCs w:val="22"/>
          <w:lang w:eastAsia="en-US"/>
        </w:rPr>
        <w:t>certification</w:t>
      </w:r>
      <w:r w:rsidR="00A83708" w:rsidRPr="00A83708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F2174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:rsidR="00E846BE" w:rsidRDefault="00A83708" w:rsidP="006E5804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8370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During the suspension of tennis the TIU team </w:t>
      </w:r>
      <w:r w:rsidR="006E580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has </w:t>
      </w:r>
      <w:r w:rsidRPr="00A83708">
        <w:rPr>
          <w:rFonts w:asciiTheme="minorHAnsi" w:eastAsia="Calibri" w:hAnsiTheme="minorHAnsi" w:cstheme="minorHAnsi"/>
          <w:sz w:val="22"/>
          <w:szCs w:val="22"/>
          <w:lang w:eastAsia="en-US"/>
        </w:rPr>
        <w:t>continu</w:t>
      </w:r>
      <w:r w:rsidR="006E580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ed </w:t>
      </w:r>
      <w:r w:rsidRPr="00A8370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to deliver its </w:t>
      </w:r>
      <w:r w:rsidR="00A75BA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comprehensive </w:t>
      </w:r>
      <w:r w:rsidRPr="00A83708">
        <w:rPr>
          <w:rFonts w:asciiTheme="minorHAnsi" w:eastAsia="Calibri" w:hAnsiTheme="minorHAnsi" w:cstheme="minorHAnsi"/>
          <w:sz w:val="22"/>
          <w:szCs w:val="22"/>
          <w:lang w:eastAsia="en-US"/>
        </w:rPr>
        <w:t>education programme, includ</w:t>
      </w:r>
      <w:r w:rsidR="006E5804">
        <w:rPr>
          <w:rFonts w:asciiTheme="minorHAnsi" w:eastAsia="Calibri" w:hAnsiTheme="minorHAnsi" w:cstheme="minorHAnsi"/>
          <w:sz w:val="22"/>
          <w:szCs w:val="22"/>
          <w:lang w:eastAsia="en-US"/>
        </w:rPr>
        <w:t>ing o</w:t>
      </w:r>
      <w:r w:rsidRPr="00A83708">
        <w:rPr>
          <w:rFonts w:asciiTheme="minorHAnsi" w:eastAsia="Calibri" w:hAnsiTheme="minorHAnsi" w:cstheme="minorHAnsi"/>
          <w:sz w:val="22"/>
          <w:szCs w:val="22"/>
          <w:lang w:eastAsia="en-US"/>
        </w:rPr>
        <w:t>nline 1-2-1 sessions for WTA Rookie players and G</w:t>
      </w:r>
      <w:r w:rsidR="006E580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rand </w:t>
      </w:r>
      <w:r w:rsidRPr="00A83708">
        <w:rPr>
          <w:rFonts w:asciiTheme="minorHAnsi" w:eastAsia="Calibri" w:hAnsiTheme="minorHAnsi" w:cstheme="minorHAnsi"/>
          <w:sz w:val="22"/>
          <w:szCs w:val="22"/>
          <w:lang w:eastAsia="en-US"/>
        </w:rPr>
        <w:t>S</w:t>
      </w:r>
      <w:r w:rsidR="006E580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lam </w:t>
      </w:r>
      <w:r w:rsidRPr="00A83708">
        <w:rPr>
          <w:rFonts w:asciiTheme="minorHAnsi" w:eastAsia="Calibri" w:hAnsiTheme="minorHAnsi" w:cstheme="minorHAnsi"/>
          <w:sz w:val="22"/>
          <w:szCs w:val="22"/>
          <w:lang w:eastAsia="en-US"/>
        </w:rPr>
        <w:t>D</w:t>
      </w:r>
      <w:r w:rsidR="006E580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evelopment </w:t>
      </w:r>
      <w:r w:rsidRPr="00A83708">
        <w:rPr>
          <w:rFonts w:asciiTheme="minorHAnsi" w:eastAsia="Calibri" w:hAnsiTheme="minorHAnsi" w:cstheme="minorHAnsi"/>
          <w:sz w:val="22"/>
          <w:szCs w:val="22"/>
          <w:lang w:eastAsia="en-US"/>
        </w:rPr>
        <w:t>F</w:t>
      </w:r>
      <w:r w:rsidR="006E5804">
        <w:rPr>
          <w:rFonts w:asciiTheme="minorHAnsi" w:eastAsia="Calibri" w:hAnsiTheme="minorHAnsi" w:cstheme="minorHAnsi"/>
          <w:sz w:val="22"/>
          <w:szCs w:val="22"/>
          <w:lang w:eastAsia="en-US"/>
        </w:rPr>
        <w:t>und</w:t>
      </w:r>
      <w:r w:rsidRPr="00A8370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grant recipients</w:t>
      </w:r>
      <w:r w:rsidR="006E580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</w:p>
    <w:p w:rsidR="00E846BE" w:rsidRDefault="00E846BE" w:rsidP="006E5804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FB2C0A" w:rsidRPr="00E846BE" w:rsidRDefault="00FB2C0A" w:rsidP="005D60E7">
      <w:pPr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  <w:r w:rsidRPr="00E846BE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Disciplinary code rules strengthened for Provisional Suspensions</w:t>
      </w:r>
    </w:p>
    <w:p w:rsidR="00A606EE" w:rsidRPr="0054680F" w:rsidRDefault="000649BC" w:rsidP="005D60E7">
      <w:pPr>
        <w:rPr>
          <w:rFonts w:asciiTheme="minorHAnsi" w:eastAsia="Calibri" w:hAnsiTheme="minorHAnsi"/>
          <w:sz w:val="22"/>
          <w:szCs w:val="22"/>
          <w:lang w:eastAsia="en-US"/>
        </w:rPr>
      </w:pPr>
      <w:r w:rsidRPr="00E846BE">
        <w:rPr>
          <w:rFonts w:asciiTheme="minorHAnsi" w:eastAsia="Calibri" w:hAnsiTheme="minorHAnsi"/>
          <w:sz w:val="22"/>
          <w:szCs w:val="22"/>
          <w:lang w:eastAsia="en-US"/>
        </w:rPr>
        <w:t xml:space="preserve">Amendments have been introduced to the </w:t>
      </w:r>
      <w:r w:rsidR="00922D46" w:rsidRPr="00E846BE">
        <w:rPr>
          <w:rFonts w:asciiTheme="minorHAnsi" w:eastAsia="Calibri" w:hAnsiTheme="minorHAnsi"/>
          <w:sz w:val="22"/>
          <w:szCs w:val="22"/>
          <w:lang w:eastAsia="en-US"/>
        </w:rPr>
        <w:t>Tennis Anti-Corruption Program (TACP)</w:t>
      </w:r>
      <w:r w:rsidRPr="00E846BE">
        <w:rPr>
          <w:rFonts w:asciiTheme="minorHAnsi" w:eastAsia="Calibri" w:hAnsiTheme="minorHAnsi"/>
          <w:sz w:val="22"/>
          <w:szCs w:val="22"/>
          <w:lang w:eastAsia="en-US"/>
        </w:rPr>
        <w:t xml:space="preserve">, to </w:t>
      </w:r>
      <w:r w:rsidR="00462777" w:rsidRPr="00E846BE">
        <w:rPr>
          <w:rFonts w:asciiTheme="minorHAnsi" w:eastAsia="Calibri" w:hAnsiTheme="minorHAnsi"/>
          <w:sz w:val="22"/>
          <w:szCs w:val="22"/>
          <w:lang w:eastAsia="en-US"/>
        </w:rPr>
        <w:t xml:space="preserve">strengthen the rules relating to the Provisional Suspension of individuals suspected of serious corruption offences. </w:t>
      </w:r>
      <w:r w:rsidR="00030591" w:rsidRPr="00E846BE">
        <w:rPr>
          <w:rFonts w:asciiTheme="minorHAnsi" w:eastAsia="Calibri" w:hAnsiTheme="minorHAnsi"/>
          <w:sz w:val="22"/>
          <w:szCs w:val="22"/>
          <w:lang w:eastAsia="en-US"/>
        </w:rPr>
        <w:t xml:space="preserve">With effect from 1 April 2020, </w:t>
      </w:r>
      <w:r w:rsidR="00527D93" w:rsidRPr="00E846BE">
        <w:rPr>
          <w:rFonts w:asciiTheme="minorHAnsi" w:eastAsia="Calibri" w:hAnsiTheme="minorHAnsi"/>
          <w:sz w:val="22"/>
          <w:szCs w:val="22"/>
          <w:lang w:eastAsia="en-US"/>
        </w:rPr>
        <w:t>a Covered Person charged with a criminal offence or the subject of criminal proceedings</w:t>
      </w:r>
      <w:r w:rsidR="008F1C2B" w:rsidRPr="00E846BE">
        <w:rPr>
          <w:rFonts w:asciiTheme="minorHAnsi" w:eastAsia="Calibri" w:hAnsiTheme="minorHAnsi"/>
          <w:sz w:val="22"/>
          <w:szCs w:val="22"/>
          <w:lang w:eastAsia="en-US"/>
        </w:rPr>
        <w:t>,</w:t>
      </w:r>
      <w:r w:rsidR="00527D93" w:rsidRPr="00E846BE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3D1C5B" w:rsidRPr="00E846BE">
        <w:rPr>
          <w:rFonts w:asciiTheme="minorHAnsi" w:eastAsia="Calibri" w:hAnsiTheme="minorHAnsi"/>
          <w:sz w:val="22"/>
          <w:szCs w:val="22"/>
          <w:lang w:eastAsia="en-US"/>
        </w:rPr>
        <w:t>can be immediately suspended by an independent Anti-Corruption Hearing Officer</w:t>
      </w:r>
      <w:r w:rsidR="00A606EE">
        <w:rPr>
          <w:rFonts w:asciiTheme="minorHAnsi" w:eastAsia="Calibri" w:hAnsiTheme="minorHAnsi"/>
          <w:sz w:val="22"/>
          <w:szCs w:val="22"/>
          <w:lang w:eastAsia="en-US"/>
        </w:rPr>
        <w:t xml:space="preserve"> (AHO)</w:t>
      </w:r>
      <w:r w:rsidR="003D1C5B" w:rsidRPr="00E846BE">
        <w:rPr>
          <w:rFonts w:asciiTheme="minorHAnsi" w:eastAsia="Calibri" w:hAnsiTheme="minorHAnsi"/>
          <w:sz w:val="22"/>
          <w:szCs w:val="22"/>
          <w:lang w:eastAsia="en-US"/>
        </w:rPr>
        <w:t xml:space="preserve">. </w:t>
      </w:r>
      <w:r w:rsidR="00CE3B28" w:rsidRPr="0054680F">
        <w:rPr>
          <w:rFonts w:asciiTheme="minorHAnsi" w:eastAsia="Calibri" w:hAnsiTheme="minorHAnsi"/>
          <w:sz w:val="22"/>
          <w:szCs w:val="22"/>
          <w:lang w:eastAsia="en-US"/>
        </w:rPr>
        <w:t xml:space="preserve">The </w:t>
      </w:r>
      <w:r w:rsidR="00485373" w:rsidRPr="0054680F">
        <w:rPr>
          <w:rFonts w:asciiTheme="minorHAnsi" w:eastAsia="Calibri" w:hAnsiTheme="minorHAnsi"/>
          <w:sz w:val="22"/>
          <w:szCs w:val="22"/>
          <w:lang w:eastAsia="en-US"/>
        </w:rPr>
        <w:t>i</w:t>
      </w:r>
      <w:r w:rsidR="00CE3B28" w:rsidRPr="0054680F">
        <w:rPr>
          <w:rFonts w:asciiTheme="minorHAnsi" w:eastAsia="Calibri" w:hAnsiTheme="minorHAnsi"/>
          <w:sz w:val="22"/>
          <w:szCs w:val="22"/>
          <w:lang w:eastAsia="en-US"/>
        </w:rPr>
        <w:t xml:space="preserve">ndividual </w:t>
      </w:r>
      <w:r w:rsidR="00485373" w:rsidRPr="0054680F">
        <w:rPr>
          <w:rFonts w:asciiTheme="minorHAnsi" w:eastAsia="Calibri" w:hAnsiTheme="minorHAnsi"/>
          <w:sz w:val="22"/>
          <w:szCs w:val="22"/>
          <w:lang w:eastAsia="en-US"/>
        </w:rPr>
        <w:t xml:space="preserve">subject to the provisional suspension </w:t>
      </w:r>
      <w:r w:rsidR="00A606EE" w:rsidRPr="0054680F">
        <w:rPr>
          <w:rFonts w:asciiTheme="minorHAnsi" w:eastAsia="Calibri" w:hAnsiTheme="minorHAnsi"/>
          <w:sz w:val="22"/>
          <w:szCs w:val="22"/>
          <w:lang w:eastAsia="en-US"/>
        </w:rPr>
        <w:t xml:space="preserve">retains the right to appeal that decision to the </w:t>
      </w:r>
      <w:r w:rsidR="00485373" w:rsidRPr="0054680F">
        <w:rPr>
          <w:rFonts w:asciiTheme="minorHAnsi" w:eastAsia="Calibri" w:hAnsiTheme="minorHAnsi"/>
          <w:sz w:val="22"/>
          <w:szCs w:val="22"/>
          <w:lang w:eastAsia="en-US"/>
        </w:rPr>
        <w:t>AHO.</w:t>
      </w:r>
    </w:p>
    <w:p w:rsidR="00B832B3" w:rsidRPr="00E846BE" w:rsidRDefault="008F1C2B" w:rsidP="005D60E7">
      <w:pPr>
        <w:rPr>
          <w:rFonts w:asciiTheme="minorHAnsi" w:eastAsia="Calibri" w:hAnsiTheme="minorHAnsi"/>
          <w:sz w:val="22"/>
          <w:szCs w:val="22"/>
          <w:lang w:eastAsia="en-US"/>
        </w:rPr>
      </w:pPr>
      <w:r w:rsidRPr="00E846BE">
        <w:rPr>
          <w:rFonts w:asciiTheme="minorHAnsi" w:eastAsia="Calibri" w:hAnsiTheme="minorHAnsi"/>
          <w:sz w:val="22"/>
          <w:szCs w:val="22"/>
          <w:lang w:eastAsia="en-US"/>
        </w:rPr>
        <w:t xml:space="preserve">A further amendment </w:t>
      </w:r>
      <w:r w:rsidR="00AF168F" w:rsidRPr="00E846BE">
        <w:rPr>
          <w:rFonts w:asciiTheme="minorHAnsi" w:eastAsia="Calibri" w:hAnsiTheme="minorHAnsi"/>
          <w:sz w:val="22"/>
          <w:szCs w:val="22"/>
          <w:lang w:eastAsia="en-US"/>
        </w:rPr>
        <w:t xml:space="preserve">clarifies that a decision to impose, or not impose, a Provisional Suspension cannot be appealed to the Court of Arbitration </w:t>
      </w:r>
      <w:r w:rsidR="006C6409" w:rsidRPr="00E846BE">
        <w:rPr>
          <w:rFonts w:asciiTheme="minorHAnsi" w:eastAsia="Calibri" w:hAnsiTheme="minorHAnsi"/>
          <w:sz w:val="22"/>
          <w:szCs w:val="22"/>
          <w:lang w:eastAsia="en-US"/>
        </w:rPr>
        <w:t xml:space="preserve">for </w:t>
      </w:r>
      <w:r w:rsidR="00AF168F" w:rsidRPr="00E846BE">
        <w:rPr>
          <w:rFonts w:asciiTheme="minorHAnsi" w:eastAsia="Calibri" w:hAnsiTheme="minorHAnsi"/>
          <w:sz w:val="22"/>
          <w:szCs w:val="22"/>
          <w:lang w:eastAsia="en-US"/>
        </w:rPr>
        <w:t>Sport (CAS).</w:t>
      </w:r>
      <w:r w:rsidR="00211051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6C6409" w:rsidRPr="00E846BE">
        <w:rPr>
          <w:rFonts w:asciiTheme="minorHAnsi" w:eastAsia="Calibri" w:hAnsiTheme="minorHAnsi"/>
          <w:sz w:val="22"/>
          <w:szCs w:val="22"/>
          <w:lang w:eastAsia="en-US"/>
        </w:rPr>
        <w:t xml:space="preserve">The final change </w:t>
      </w:r>
      <w:r w:rsidR="00D4770C" w:rsidRPr="00E846BE">
        <w:rPr>
          <w:rFonts w:asciiTheme="minorHAnsi" w:eastAsia="Calibri" w:hAnsiTheme="minorHAnsi"/>
          <w:sz w:val="22"/>
          <w:szCs w:val="22"/>
          <w:lang w:eastAsia="en-US"/>
        </w:rPr>
        <w:t xml:space="preserve">allows a Covered Person </w:t>
      </w:r>
      <w:r w:rsidR="00BF6390" w:rsidRPr="00E846BE">
        <w:rPr>
          <w:rFonts w:asciiTheme="minorHAnsi" w:eastAsia="Calibri" w:hAnsiTheme="minorHAnsi"/>
          <w:sz w:val="22"/>
          <w:szCs w:val="22"/>
          <w:lang w:eastAsia="en-US"/>
        </w:rPr>
        <w:t xml:space="preserve">subject to a Provisional Suspension </w:t>
      </w:r>
      <w:r w:rsidR="00D4770C" w:rsidRPr="00E846BE">
        <w:rPr>
          <w:rFonts w:asciiTheme="minorHAnsi" w:eastAsia="Calibri" w:hAnsiTheme="minorHAnsi"/>
          <w:sz w:val="22"/>
          <w:szCs w:val="22"/>
          <w:lang w:eastAsia="en-US"/>
        </w:rPr>
        <w:t xml:space="preserve">to appeal for </w:t>
      </w:r>
      <w:r w:rsidR="00214BDC" w:rsidRPr="00E846BE">
        <w:rPr>
          <w:rFonts w:asciiTheme="minorHAnsi" w:eastAsia="Calibri" w:hAnsiTheme="minorHAnsi"/>
          <w:sz w:val="22"/>
          <w:szCs w:val="22"/>
          <w:lang w:eastAsia="en-US"/>
        </w:rPr>
        <w:t>that s</w:t>
      </w:r>
      <w:r w:rsidR="00D4770C" w:rsidRPr="00E846BE">
        <w:rPr>
          <w:rFonts w:asciiTheme="minorHAnsi" w:eastAsia="Calibri" w:hAnsiTheme="minorHAnsi"/>
          <w:sz w:val="22"/>
          <w:szCs w:val="22"/>
          <w:lang w:eastAsia="en-US"/>
        </w:rPr>
        <w:t xml:space="preserve">uspension to be lifted after a period of 90 days, rather than the previous </w:t>
      </w:r>
      <w:r w:rsidR="00B832B3" w:rsidRPr="00E846BE">
        <w:rPr>
          <w:rFonts w:asciiTheme="minorHAnsi" w:eastAsia="Calibri" w:hAnsiTheme="minorHAnsi"/>
          <w:sz w:val="22"/>
          <w:szCs w:val="22"/>
          <w:lang w:eastAsia="en-US"/>
        </w:rPr>
        <w:t>term of 120 days.</w:t>
      </w:r>
    </w:p>
    <w:p w:rsidR="00E846BE" w:rsidRDefault="00E846BE" w:rsidP="003515CF">
      <w:pPr>
        <w:rPr>
          <w:rFonts w:asciiTheme="minorHAnsi" w:hAnsiTheme="minorHAnsi"/>
          <w:b/>
          <w:sz w:val="22"/>
          <w:szCs w:val="22"/>
          <w:u w:val="single"/>
        </w:rPr>
      </w:pPr>
    </w:p>
    <w:p w:rsidR="00C7006E" w:rsidRPr="00E846BE" w:rsidRDefault="00C7006E" w:rsidP="003515CF">
      <w:pPr>
        <w:rPr>
          <w:rFonts w:asciiTheme="minorHAnsi" w:hAnsiTheme="minorHAnsi"/>
          <w:b/>
          <w:sz w:val="22"/>
          <w:szCs w:val="22"/>
          <w:u w:val="single"/>
        </w:rPr>
      </w:pPr>
      <w:r w:rsidRPr="00E846BE">
        <w:rPr>
          <w:rFonts w:asciiTheme="minorHAnsi" w:hAnsiTheme="minorHAnsi"/>
          <w:b/>
          <w:sz w:val="22"/>
          <w:szCs w:val="22"/>
          <w:u w:val="single"/>
        </w:rPr>
        <w:t xml:space="preserve">Disciplinary </w:t>
      </w:r>
      <w:r w:rsidR="003E2C09" w:rsidRPr="00E846BE">
        <w:rPr>
          <w:rFonts w:asciiTheme="minorHAnsi" w:hAnsiTheme="minorHAnsi"/>
          <w:b/>
          <w:sz w:val="22"/>
          <w:szCs w:val="22"/>
          <w:u w:val="single"/>
        </w:rPr>
        <w:t xml:space="preserve">decisions </w:t>
      </w:r>
      <w:r w:rsidR="005B59BA" w:rsidRPr="00E846BE">
        <w:rPr>
          <w:rFonts w:asciiTheme="minorHAnsi" w:hAnsiTheme="minorHAnsi"/>
          <w:b/>
          <w:sz w:val="22"/>
          <w:szCs w:val="22"/>
          <w:u w:val="single"/>
        </w:rPr>
        <w:t>–</w:t>
      </w:r>
      <w:r w:rsidR="000E536C" w:rsidRPr="00E846BE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D51B28" w:rsidRPr="00E846BE">
        <w:rPr>
          <w:rFonts w:asciiTheme="minorHAnsi" w:hAnsiTheme="minorHAnsi"/>
          <w:b/>
          <w:sz w:val="22"/>
          <w:szCs w:val="22"/>
          <w:u w:val="single"/>
        </w:rPr>
        <w:t>J</w:t>
      </w:r>
      <w:r w:rsidR="005B59BA" w:rsidRPr="00E846BE">
        <w:rPr>
          <w:rFonts w:asciiTheme="minorHAnsi" w:hAnsiTheme="minorHAnsi"/>
          <w:b/>
          <w:sz w:val="22"/>
          <w:szCs w:val="22"/>
          <w:u w:val="single"/>
        </w:rPr>
        <w:t xml:space="preserve">anuary </w:t>
      </w:r>
      <w:r w:rsidRPr="00E846BE">
        <w:rPr>
          <w:rFonts w:asciiTheme="minorHAnsi" w:hAnsiTheme="minorHAnsi"/>
          <w:b/>
          <w:sz w:val="22"/>
          <w:szCs w:val="22"/>
          <w:u w:val="single"/>
        </w:rPr>
        <w:t xml:space="preserve">to </w:t>
      </w:r>
      <w:r w:rsidR="005B59BA" w:rsidRPr="00E846BE">
        <w:rPr>
          <w:rFonts w:asciiTheme="minorHAnsi" w:hAnsiTheme="minorHAnsi"/>
          <w:b/>
          <w:sz w:val="22"/>
          <w:szCs w:val="22"/>
          <w:u w:val="single"/>
        </w:rPr>
        <w:t>March 2020</w:t>
      </w:r>
      <w:r w:rsidRPr="00E846BE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B17059" w:rsidRPr="00E846BE" w:rsidRDefault="002D38B7" w:rsidP="00B17059">
      <w:pPr>
        <w:rPr>
          <w:rFonts w:asciiTheme="minorHAnsi" w:hAnsiTheme="minorHAnsi"/>
          <w:sz w:val="22"/>
          <w:szCs w:val="22"/>
        </w:rPr>
      </w:pPr>
      <w:r w:rsidRPr="00E846BE">
        <w:rPr>
          <w:rFonts w:asciiTheme="minorHAnsi" w:hAnsiTheme="minorHAnsi"/>
          <w:sz w:val="22"/>
          <w:szCs w:val="22"/>
        </w:rPr>
        <w:t xml:space="preserve">Between </w:t>
      </w:r>
      <w:r w:rsidR="00D51B28" w:rsidRPr="00E846BE">
        <w:rPr>
          <w:rFonts w:asciiTheme="minorHAnsi" w:hAnsiTheme="minorHAnsi"/>
          <w:sz w:val="22"/>
          <w:szCs w:val="22"/>
        </w:rPr>
        <w:t>J</w:t>
      </w:r>
      <w:r w:rsidR="003E2C09" w:rsidRPr="00E846BE">
        <w:rPr>
          <w:rFonts w:asciiTheme="minorHAnsi" w:hAnsiTheme="minorHAnsi"/>
          <w:sz w:val="22"/>
          <w:szCs w:val="22"/>
        </w:rPr>
        <w:t xml:space="preserve">anuary </w:t>
      </w:r>
      <w:r w:rsidR="0053246C" w:rsidRPr="00E846BE">
        <w:rPr>
          <w:rFonts w:asciiTheme="minorHAnsi" w:hAnsiTheme="minorHAnsi"/>
          <w:sz w:val="22"/>
          <w:szCs w:val="22"/>
        </w:rPr>
        <w:t xml:space="preserve">and </w:t>
      </w:r>
      <w:r w:rsidR="003E2C09" w:rsidRPr="00E846BE">
        <w:rPr>
          <w:rFonts w:asciiTheme="minorHAnsi" w:hAnsiTheme="minorHAnsi"/>
          <w:sz w:val="22"/>
          <w:szCs w:val="22"/>
        </w:rPr>
        <w:t>March t</w:t>
      </w:r>
      <w:r w:rsidR="00963703" w:rsidRPr="00E846BE">
        <w:rPr>
          <w:rFonts w:asciiTheme="minorHAnsi" w:hAnsiTheme="minorHAnsi"/>
          <w:sz w:val="22"/>
          <w:szCs w:val="22"/>
        </w:rPr>
        <w:t>hree p</w:t>
      </w:r>
      <w:r w:rsidR="00E47C96" w:rsidRPr="00E846BE">
        <w:rPr>
          <w:rFonts w:asciiTheme="minorHAnsi" w:hAnsiTheme="minorHAnsi"/>
          <w:sz w:val="22"/>
          <w:szCs w:val="22"/>
        </w:rPr>
        <w:t>layers</w:t>
      </w:r>
      <w:r w:rsidR="0095155C" w:rsidRPr="00E846BE">
        <w:rPr>
          <w:rFonts w:asciiTheme="minorHAnsi" w:hAnsiTheme="minorHAnsi"/>
          <w:sz w:val="22"/>
          <w:szCs w:val="22"/>
        </w:rPr>
        <w:t xml:space="preserve"> </w:t>
      </w:r>
      <w:r w:rsidR="00A9152B" w:rsidRPr="00E846BE">
        <w:rPr>
          <w:rFonts w:asciiTheme="minorHAnsi" w:hAnsiTheme="minorHAnsi"/>
          <w:sz w:val="22"/>
          <w:szCs w:val="22"/>
        </w:rPr>
        <w:t>– Jonathan Kanar, Joao Olav</w:t>
      </w:r>
      <w:r w:rsidR="006E3B3E" w:rsidRPr="00E846BE">
        <w:rPr>
          <w:rFonts w:asciiTheme="minorHAnsi" w:hAnsiTheme="minorHAnsi"/>
          <w:sz w:val="22"/>
          <w:szCs w:val="22"/>
        </w:rPr>
        <w:t xml:space="preserve">o Soares </w:t>
      </w:r>
      <w:r w:rsidR="00A9152B" w:rsidRPr="00E846BE">
        <w:rPr>
          <w:rFonts w:asciiTheme="minorHAnsi" w:hAnsiTheme="minorHAnsi"/>
          <w:sz w:val="22"/>
          <w:szCs w:val="22"/>
        </w:rPr>
        <w:t>de Souza</w:t>
      </w:r>
      <w:r w:rsidR="006E3B3E" w:rsidRPr="00E846BE">
        <w:rPr>
          <w:rFonts w:asciiTheme="minorHAnsi" w:hAnsiTheme="minorHAnsi"/>
          <w:sz w:val="22"/>
          <w:szCs w:val="22"/>
        </w:rPr>
        <w:t xml:space="preserve"> and Patrick Keane - </w:t>
      </w:r>
      <w:r w:rsidR="00CA3C5F" w:rsidRPr="00E846BE">
        <w:rPr>
          <w:rFonts w:asciiTheme="minorHAnsi" w:hAnsiTheme="minorHAnsi"/>
          <w:sz w:val="22"/>
          <w:szCs w:val="22"/>
        </w:rPr>
        <w:t xml:space="preserve">were subject to </w:t>
      </w:r>
      <w:r w:rsidR="000D3E83" w:rsidRPr="00E846BE">
        <w:rPr>
          <w:rFonts w:asciiTheme="minorHAnsi" w:hAnsiTheme="minorHAnsi"/>
          <w:sz w:val="22"/>
          <w:szCs w:val="22"/>
        </w:rPr>
        <w:t xml:space="preserve">disciplinary </w:t>
      </w:r>
      <w:r w:rsidR="00A75BA6">
        <w:rPr>
          <w:rFonts w:asciiTheme="minorHAnsi" w:hAnsiTheme="minorHAnsi"/>
          <w:sz w:val="22"/>
          <w:szCs w:val="22"/>
        </w:rPr>
        <w:t xml:space="preserve">sanctions </w:t>
      </w:r>
      <w:r w:rsidR="000D3E83" w:rsidRPr="00E846BE">
        <w:rPr>
          <w:rFonts w:asciiTheme="minorHAnsi" w:hAnsiTheme="minorHAnsi"/>
          <w:sz w:val="22"/>
          <w:szCs w:val="22"/>
        </w:rPr>
        <w:t>for breaches of the Tennis Anti-Corruption Program</w:t>
      </w:r>
      <w:r w:rsidR="008B6733" w:rsidRPr="00E846BE">
        <w:rPr>
          <w:rFonts w:asciiTheme="minorHAnsi" w:hAnsiTheme="minorHAnsi"/>
          <w:sz w:val="22"/>
          <w:szCs w:val="22"/>
        </w:rPr>
        <w:t xml:space="preserve">. In addition, </w:t>
      </w:r>
      <w:r w:rsidR="00963703" w:rsidRPr="00E846BE">
        <w:rPr>
          <w:rFonts w:asciiTheme="minorHAnsi" w:hAnsiTheme="minorHAnsi"/>
          <w:sz w:val="22"/>
          <w:szCs w:val="22"/>
        </w:rPr>
        <w:t>a</w:t>
      </w:r>
      <w:r w:rsidR="00A75BA6">
        <w:rPr>
          <w:rFonts w:asciiTheme="minorHAnsi" w:hAnsiTheme="minorHAnsi"/>
          <w:sz w:val="22"/>
          <w:szCs w:val="22"/>
        </w:rPr>
        <w:t>n a</w:t>
      </w:r>
      <w:r w:rsidR="00E47C96" w:rsidRPr="00E846BE">
        <w:rPr>
          <w:rFonts w:asciiTheme="minorHAnsi" w:hAnsiTheme="minorHAnsi"/>
          <w:sz w:val="22"/>
          <w:szCs w:val="22"/>
        </w:rPr>
        <w:t xml:space="preserve">ppeal decision </w:t>
      </w:r>
      <w:r w:rsidR="008B6733" w:rsidRPr="00E846BE">
        <w:rPr>
          <w:rFonts w:asciiTheme="minorHAnsi" w:hAnsiTheme="minorHAnsi"/>
          <w:sz w:val="22"/>
          <w:szCs w:val="22"/>
        </w:rPr>
        <w:t>was received for Argentinian player Nicolas Kicker</w:t>
      </w:r>
      <w:r w:rsidR="00905F92" w:rsidRPr="00E846BE">
        <w:rPr>
          <w:rFonts w:asciiTheme="minorHAnsi" w:hAnsiTheme="minorHAnsi"/>
          <w:sz w:val="22"/>
          <w:szCs w:val="22"/>
        </w:rPr>
        <w:t xml:space="preserve">: </w:t>
      </w:r>
    </w:p>
    <w:p w:rsidR="002F195D" w:rsidRPr="00147099" w:rsidRDefault="00A435E2" w:rsidP="008C306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hyperlink r:id="rId7" w:history="1">
        <w:r w:rsidR="002F195D" w:rsidRPr="00147099">
          <w:rPr>
            <w:rStyle w:val="Hyperlink"/>
            <w:rFonts w:asciiTheme="minorHAnsi" w:hAnsiTheme="minorHAnsi" w:cstheme="minorHAnsi"/>
            <w:sz w:val="22"/>
            <w:szCs w:val="22"/>
          </w:rPr>
          <w:t>https://www.tennisintegrityunit.com/media-releases/jonathan-kanar-suspended-and-fined-after-admitting-corruption-offences</w:t>
        </w:r>
      </w:hyperlink>
    </w:p>
    <w:p w:rsidR="002F195D" w:rsidRPr="00147099" w:rsidRDefault="00A435E2" w:rsidP="002F195D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hyperlink r:id="rId8" w:history="1">
        <w:r w:rsidR="002F195D" w:rsidRPr="00147099">
          <w:rPr>
            <w:rStyle w:val="Hyperlink"/>
            <w:rFonts w:asciiTheme="minorHAnsi" w:hAnsiTheme="minorHAnsi" w:cstheme="minorHAnsi"/>
            <w:sz w:val="22"/>
            <w:szCs w:val="22"/>
          </w:rPr>
          <w:t>https://www.tennisintegrityunit.com/media-releases/lifetime-ban-and-200000-fine-joao-olavo-soares-de-souza-after-conviction-match-fixing-charges</w:t>
        </w:r>
      </w:hyperlink>
    </w:p>
    <w:p w:rsidR="002F195D" w:rsidRPr="00147099" w:rsidRDefault="00A435E2" w:rsidP="002F195D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hyperlink r:id="rId9" w:history="1">
        <w:r w:rsidR="002F195D" w:rsidRPr="00147099">
          <w:rPr>
            <w:rStyle w:val="Hyperlink"/>
            <w:rFonts w:asciiTheme="minorHAnsi" w:hAnsiTheme="minorHAnsi" w:cstheme="minorHAnsi"/>
            <w:sz w:val="22"/>
            <w:szCs w:val="22"/>
          </w:rPr>
          <w:t>https://www.tennisintegrityunit.com/media-releases/independent-anti-corruption-hearing-officer-reduces-nicolas-kicker-suspension-recognition-player-education-support</w:t>
        </w:r>
      </w:hyperlink>
    </w:p>
    <w:p w:rsidR="002F195D" w:rsidRPr="00147099" w:rsidRDefault="00A435E2" w:rsidP="00147099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hyperlink r:id="rId10" w:history="1">
        <w:r w:rsidR="00147099" w:rsidRPr="00147099">
          <w:rPr>
            <w:rStyle w:val="Hyperlink"/>
            <w:rFonts w:asciiTheme="minorHAnsi" w:hAnsiTheme="minorHAnsi" w:cstheme="minorHAnsi"/>
            <w:sz w:val="22"/>
            <w:szCs w:val="22"/>
          </w:rPr>
          <w:t>https://www.tennisintegrityunit.com/media-releases/patrick-keane-suspended-and-fined-betting-tennis-offences</w:t>
        </w:r>
      </w:hyperlink>
    </w:p>
    <w:p w:rsidR="00905F92" w:rsidRPr="00905F92" w:rsidRDefault="00905F92" w:rsidP="009D244F">
      <w:pPr>
        <w:rPr>
          <w:rFonts w:asciiTheme="minorHAnsi" w:hAnsiTheme="minorHAnsi"/>
          <w:sz w:val="20"/>
          <w:szCs w:val="20"/>
        </w:rPr>
      </w:pPr>
    </w:p>
    <w:p w:rsidR="00F63275" w:rsidRDefault="00211051" w:rsidP="009D244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</w:t>
      </w:r>
      <w:r w:rsidR="00D51B28">
        <w:rPr>
          <w:rFonts w:asciiTheme="minorHAnsi" w:hAnsiTheme="minorHAnsi"/>
          <w:sz w:val="20"/>
          <w:szCs w:val="20"/>
        </w:rPr>
        <w:t>hese sanctions have previously been announced and are included here as a retrospective record.</w:t>
      </w:r>
    </w:p>
    <w:p w:rsidR="00D51B28" w:rsidRDefault="00D51B28" w:rsidP="009D244F">
      <w:pPr>
        <w:rPr>
          <w:rFonts w:asciiTheme="minorHAnsi" w:hAnsiTheme="minorHAnsi"/>
          <w:b/>
          <w:sz w:val="20"/>
          <w:szCs w:val="20"/>
          <w:u w:val="single"/>
        </w:rPr>
      </w:pPr>
    </w:p>
    <w:p w:rsidR="009D244F" w:rsidRDefault="00F21CFB" w:rsidP="009D244F">
      <w:pPr>
        <w:rPr>
          <w:rFonts w:asciiTheme="minorHAnsi" w:hAnsiTheme="minorHAnsi"/>
          <w:b/>
          <w:sz w:val="20"/>
          <w:szCs w:val="20"/>
          <w:u w:val="single"/>
        </w:rPr>
      </w:pPr>
      <w:r w:rsidRPr="00A67483">
        <w:rPr>
          <w:rFonts w:asciiTheme="minorHAnsi" w:hAnsiTheme="minorHAnsi"/>
          <w:b/>
          <w:sz w:val="20"/>
          <w:szCs w:val="20"/>
          <w:u w:val="single"/>
        </w:rPr>
        <w:t>More information</w:t>
      </w:r>
    </w:p>
    <w:p w:rsidR="00551AEB" w:rsidRDefault="00F21CFB" w:rsidP="00EF2430">
      <w:pPr>
        <w:rPr>
          <w:rFonts w:asciiTheme="minorHAnsi" w:eastAsia="Calibri" w:hAnsiTheme="minorHAnsi"/>
          <w:noProof/>
          <w:sz w:val="20"/>
          <w:szCs w:val="20"/>
          <w:lang w:val="pt-PT" w:eastAsia="en-US"/>
        </w:rPr>
      </w:pPr>
      <w:r w:rsidRPr="00A67483">
        <w:rPr>
          <w:rFonts w:asciiTheme="minorHAnsi" w:eastAsia="Calibri" w:hAnsiTheme="minorHAnsi"/>
          <w:noProof/>
          <w:sz w:val="20"/>
          <w:szCs w:val="20"/>
          <w:lang w:val="pt-PT" w:eastAsia="en-US"/>
        </w:rPr>
        <w:t>Mark Harrison</w:t>
      </w:r>
      <w:r w:rsidR="00CE42B9">
        <w:rPr>
          <w:rFonts w:asciiTheme="minorHAnsi" w:eastAsia="Calibri" w:hAnsiTheme="minorHAnsi"/>
          <w:noProof/>
          <w:sz w:val="20"/>
          <w:szCs w:val="20"/>
          <w:lang w:val="pt-PT" w:eastAsia="en-US"/>
        </w:rPr>
        <w:t>,</w:t>
      </w:r>
    </w:p>
    <w:p w:rsidR="005C6064" w:rsidRDefault="00F21CFB" w:rsidP="00EF2430">
      <w:pPr>
        <w:rPr>
          <w:rFonts w:asciiTheme="minorHAnsi" w:eastAsia="Calibri" w:hAnsiTheme="minorHAnsi"/>
          <w:noProof/>
          <w:sz w:val="20"/>
          <w:szCs w:val="20"/>
          <w:lang w:val="pt-PT" w:eastAsia="en-US"/>
        </w:rPr>
      </w:pPr>
      <w:r w:rsidRPr="00A67483">
        <w:rPr>
          <w:rFonts w:asciiTheme="minorHAnsi" w:eastAsia="Calibri" w:hAnsiTheme="minorHAnsi"/>
          <w:noProof/>
          <w:sz w:val="20"/>
          <w:szCs w:val="20"/>
          <w:lang w:val="pt-PT" w:eastAsia="en-US"/>
        </w:rPr>
        <w:t xml:space="preserve">Head of Communications </w:t>
      </w:r>
      <w:r w:rsidRPr="00A67483">
        <w:rPr>
          <w:rFonts w:asciiTheme="minorHAnsi" w:eastAsia="Calibri" w:hAnsiTheme="minorHAnsi"/>
          <w:noProof/>
          <w:sz w:val="20"/>
          <w:szCs w:val="20"/>
          <w:lang w:val="pt-PT" w:eastAsia="en-US"/>
        </w:rPr>
        <w:br/>
        <w:t>Tennis Integrity Unit</w:t>
      </w:r>
    </w:p>
    <w:p w:rsidR="00F21CFB" w:rsidRPr="00A67483" w:rsidRDefault="00F21CFB" w:rsidP="00EF2430">
      <w:pPr>
        <w:rPr>
          <w:rFonts w:asciiTheme="minorHAnsi" w:eastAsia="Calibri" w:hAnsiTheme="minorHAnsi"/>
          <w:noProof/>
          <w:sz w:val="20"/>
          <w:szCs w:val="20"/>
          <w:lang w:eastAsia="en-US"/>
        </w:rPr>
      </w:pPr>
      <w:r w:rsidRPr="00A67483">
        <w:rPr>
          <w:rFonts w:asciiTheme="minorHAnsi" w:eastAsia="Calibri" w:hAnsiTheme="minorHAnsi"/>
          <w:noProof/>
          <w:sz w:val="20"/>
          <w:szCs w:val="20"/>
          <w:lang w:eastAsia="en-US"/>
        </w:rPr>
        <w:t xml:space="preserve">Cell: +44 (0) 7776 182506 </w:t>
      </w:r>
      <w:r w:rsidRPr="00A67483">
        <w:rPr>
          <w:rFonts w:asciiTheme="minorHAnsi" w:eastAsia="Calibri" w:hAnsiTheme="minorHAnsi"/>
          <w:noProof/>
          <w:sz w:val="20"/>
          <w:szCs w:val="20"/>
          <w:lang w:eastAsia="en-US"/>
        </w:rPr>
        <w:br/>
        <w:t xml:space="preserve">Email: </w:t>
      </w:r>
      <w:hyperlink r:id="rId11" w:history="1">
        <w:r w:rsidRPr="00A67483">
          <w:rPr>
            <w:rFonts w:asciiTheme="minorHAnsi" w:eastAsia="Calibri" w:hAnsiTheme="minorHAnsi"/>
            <w:noProof/>
            <w:color w:val="0000FF" w:themeColor="hyperlink"/>
            <w:sz w:val="20"/>
            <w:szCs w:val="20"/>
            <w:u w:val="single"/>
            <w:lang w:eastAsia="en-US"/>
          </w:rPr>
          <w:t>mark.harrison@tennisintegrityunit.com</w:t>
        </w:r>
      </w:hyperlink>
    </w:p>
    <w:p w:rsidR="003A2201" w:rsidRDefault="00F21CFB" w:rsidP="009D244F">
      <w:pPr>
        <w:keepNext/>
        <w:rPr>
          <w:rFonts w:asciiTheme="minorHAnsi" w:eastAsia="Calibri" w:hAnsiTheme="minorHAnsi"/>
          <w:noProof/>
          <w:color w:val="0000FF" w:themeColor="hyperlink"/>
          <w:sz w:val="20"/>
          <w:szCs w:val="20"/>
          <w:u w:val="single"/>
          <w:lang w:eastAsia="en-US"/>
        </w:rPr>
      </w:pPr>
      <w:r w:rsidRPr="00A67483">
        <w:rPr>
          <w:rFonts w:asciiTheme="minorHAnsi" w:eastAsia="Calibri" w:hAnsiTheme="minorHAnsi"/>
          <w:noProof/>
          <w:sz w:val="20"/>
          <w:szCs w:val="20"/>
          <w:lang w:eastAsia="en-US"/>
        </w:rPr>
        <w:t xml:space="preserve">Website: </w:t>
      </w:r>
      <w:hyperlink r:id="rId12" w:history="1">
        <w:r w:rsidRPr="00A67483">
          <w:rPr>
            <w:rFonts w:asciiTheme="minorHAnsi" w:eastAsia="Calibri" w:hAnsiTheme="minorHAnsi"/>
            <w:noProof/>
            <w:color w:val="0000FF" w:themeColor="hyperlink"/>
            <w:sz w:val="20"/>
            <w:szCs w:val="20"/>
            <w:u w:val="single"/>
            <w:lang w:eastAsia="en-US"/>
          </w:rPr>
          <w:t>www.tennisintegrityunit.com</w:t>
        </w:r>
      </w:hyperlink>
    </w:p>
    <w:p w:rsidR="009D244F" w:rsidRPr="003A2201" w:rsidRDefault="009D244F" w:rsidP="009D244F">
      <w:pPr>
        <w:keepNext/>
        <w:rPr>
          <w:rFonts w:ascii="Calibri" w:eastAsia="Calibri" w:hAnsi="Calibri"/>
          <w:lang w:eastAsia="en-US"/>
        </w:rPr>
      </w:pPr>
    </w:p>
    <w:p w:rsidR="005C6064" w:rsidRDefault="005C6064" w:rsidP="00976EE0">
      <w:pPr>
        <w:pStyle w:val="Footer"/>
        <w:jc w:val="center"/>
        <w:rPr>
          <w:rFonts w:asciiTheme="minorHAnsi" w:hAnsiTheme="minorHAnsi" w:cs="Arial"/>
          <w:color w:val="4F6228" w:themeColor="accent3" w:themeShade="80"/>
          <w:sz w:val="20"/>
        </w:rPr>
      </w:pPr>
    </w:p>
    <w:p w:rsidR="003A2201" w:rsidRPr="003A2201" w:rsidRDefault="003A2201" w:rsidP="00976EE0">
      <w:pPr>
        <w:pStyle w:val="Footer"/>
        <w:jc w:val="center"/>
        <w:rPr>
          <w:rFonts w:ascii="Calibri" w:eastAsia="Calibri" w:hAnsi="Calibri"/>
        </w:rPr>
      </w:pPr>
      <w:r w:rsidRPr="00677558">
        <w:rPr>
          <w:rFonts w:asciiTheme="minorHAnsi" w:hAnsiTheme="minorHAnsi" w:cs="Arial"/>
          <w:color w:val="4F6228" w:themeColor="accent3" w:themeShade="80"/>
          <w:sz w:val="20"/>
        </w:rPr>
        <w:t>Tennis Integrity Unit, Bank Lane,</w:t>
      </w:r>
      <w:r w:rsidR="00326CE1">
        <w:rPr>
          <w:rFonts w:asciiTheme="minorHAnsi" w:hAnsiTheme="minorHAnsi" w:cs="Arial"/>
          <w:color w:val="4F6228" w:themeColor="accent3" w:themeShade="80"/>
          <w:sz w:val="20"/>
        </w:rPr>
        <w:t xml:space="preserve"> </w:t>
      </w:r>
      <w:r w:rsidRPr="00677558">
        <w:rPr>
          <w:rFonts w:asciiTheme="minorHAnsi" w:hAnsiTheme="minorHAnsi" w:cs="Arial"/>
          <w:color w:val="4F6228" w:themeColor="accent3" w:themeShade="80"/>
          <w:sz w:val="20"/>
        </w:rPr>
        <w:t xml:space="preserve">Roehampton, London, SW15 5XZ. </w:t>
      </w:r>
      <w:hyperlink r:id="rId13" w:history="1">
        <w:r w:rsidRPr="00677558">
          <w:rPr>
            <w:rStyle w:val="Hyperlink"/>
            <w:rFonts w:asciiTheme="minorHAnsi" w:hAnsiTheme="minorHAnsi" w:cs="Arial"/>
            <w:color w:val="0000FF"/>
            <w:sz w:val="20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www.tennisintegrityunit.com</w:t>
        </w:r>
      </w:hyperlink>
      <w:r w:rsidRPr="00677558">
        <w:rPr>
          <w:rFonts w:asciiTheme="minorHAnsi" w:hAnsiTheme="minorHAnsi" w:cs="Arial"/>
          <w:color w:val="4F6228" w:themeColor="accent3" w:themeShade="80"/>
          <w:sz w:val="20"/>
        </w:rPr>
        <w:t xml:space="preserve"> </w:t>
      </w:r>
    </w:p>
    <w:sectPr w:rsidR="003A2201" w:rsidRPr="003A2201" w:rsidSect="00216002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E73B7"/>
    <w:multiLevelType w:val="hybridMultilevel"/>
    <w:tmpl w:val="786C3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54540"/>
    <w:multiLevelType w:val="hybridMultilevel"/>
    <w:tmpl w:val="BC2C9742"/>
    <w:lvl w:ilvl="0" w:tplc="08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E130254"/>
    <w:multiLevelType w:val="hybridMultilevel"/>
    <w:tmpl w:val="B03430EA"/>
    <w:lvl w:ilvl="0" w:tplc="09EA91F4"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2FF8687D"/>
    <w:multiLevelType w:val="hybridMultilevel"/>
    <w:tmpl w:val="C2E42C66"/>
    <w:lvl w:ilvl="0" w:tplc="2B76CC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77A10"/>
    <w:multiLevelType w:val="hybridMultilevel"/>
    <w:tmpl w:val="FA2C1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03190"/>
    <w:multiLevelType w:val="multilevel"/>
    <w:tmpl w:val="F4864C7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 w:hint="default"/>
        <w:b/>
        <w:strike w:val="0"/>
        <w:dstrike w:val="0"/>
        <w:color w:val="000000"/>
        <w:spacing w:val="0"/>
        <w:w w:val="100"/>
        <w:sz w:val="24"/>
        <w:u w:val="none"/>
        <w:effect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03313D4"/>
    <w:multiLevelType w:val="hybridMultilevel"/>
    <w:tmpl w:val="DD18666E"/>
    <w:lvl w:ilvl="0" w:tplc="4272A1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9469B"/>
    <w:multiLevelType w:val="hybridMultilevel"/>
    <w:tmpl w:val="F5986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D005C"/>
    <w:multiLevelType w:val="hybridMultilevel"/>
    <w:tmpl w:val="DF623CF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EA111A6"/>
    <w:multiLevelType w:val="hybridMultilevel"/>
    <w:tmpl w:val="9B300952"/>
    <w:lvl w:ilvl="0" w:tplc="08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0" w15:restartNumberingAfterBreak="0">
    <w:nsid w:val="60170ECF"/>
    <w:multiLevelType w:val="hybridMultilevel"/>
    <w:tmpl w:val="BA7CC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B69A4"/>
    <w:multiLevelType w:val="hybridMultilevel"/>
    <w:tmpl w:val="6844996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63506"/>
    <w:multiLevelType w:val="hybridMultilevel"/>
    <w:tmpl w:val="962E0DAA"/>
    <w:lvl w:ilvl="0" w:tplc="7C9E23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1"/>
  </w:num>
  <w:num w:numId="5">
    <w:abstractNumId w:val="4"/>
  </w:num>
  <w:num w:numId="6">
    <w:abstractNumId w:val="3"/>
  </w:num>
  <w:num w:numId="7">
    <w:abstractNumId w:val="12"/>
  </w:num>
  <w:num w:numId="8">
    <w:abstractNumId w:val="0"/>
  </w:num>
  <w:num w:numId="9">
    <w:abstractNumId w:val="7"/>
  </w:num>
  <w:num w:numId="10">
    <w:abstractNumId w:val="2"/>
  </w:num>
  <w:num w:numId="11">
    <w:abstractNumId w:val="9"/>
  </w:num>
  <w:num w:numId="12">
    <w:abstractNumId w:val="8"/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FA9"/>
    <w:rsid w:val="00007856"/>
    <w:rsid w:val="000158BE"/>
    <w:rsid w:val="00020FD4"/>
    <w:rsid w:val="00026BB7"/>
    <w:rsid w:val="00030591"/>
    <w:rsid w:val="00043680"/>
    <w:rsid w:val="000649BC"/>
    <w:rsid w:val="00065F1E"/>
    <w:rsid w:val="00080D34"/>
    <w:rsid w:val="00080D5C"/>
    <w:rsid w:val="0009433E"/>
    <w:rsid w:val="0009491D"/>
    <w:rsid w:val="00095AE9"/>
    <w:rsid w:val="00096E65"/>
    <w:rsid w:val="000A0E28"/>
    <w:rsid w:val="000A349F"/>
    <w:rsid w:val="000C251C"/>
    <w:rsid w:val="000C4FDE"/>
    <w:rsid w:val="000C6AC3"/>
    <w:rsid w:val="000D288B"/>
    <w:rsid w:val="000D3E83"/>
    <w:rsid w:val="000D5919"/>
    <w:rsid w:val="000E536C"/>
    <w:rsid w:val="000E56A9"/>
    <w:rsid w:val="000E6D95"/>
    <w:rsid w:val="000E7170"/>
    <w:rsid w:val="000F4D7D"/>
    <w:rsid w:val="00113E35"/>
    <w:rsid w:val="0011714A"/>
    <w:rsid w:val="00130E94"/>
    <w:rsid w:val="00132152"/>
    <w:rsid w:val="00145F8C"/>
    <w:rsid w:val="00147099"/>
    <w:rsid w:val="0015627B"/>
    <w:rsid w:val="00190A1A"/>
    <w:rsid w:val="00195870"/>
    <w:rsid w:val="001A7EB3"/>
    <w:rsid w:val="001C1AE9"/>
    <w:rsid w:val="001D2B47"/>
    <w:rsid w:val="001D39B3"/>
    <w:rsid w:val="001D6969"/>
    <w:rsid w:val="001E1B16"/>
    <w:rsid w:val="001E37E3"/>
    <w:rsid w:val="001F1A06"/>
    <w:rsid w:val="001F5CAE"/>
    <w:rsid w:val="00206286"/>
    <w:rsid w:val="0021003E"/>
    <w:rsid w:val="00211051"/>
    <w:rsid w:val="00211E52"/>
    <w:rsid w:val="00214BDC"/>
    <w:rsid w:val="00216002"/>
    <w:rsid w:val="00225FDC"/>
    <w:rsid w:val="00233F78"/>
    <w:rsid w:val="00236AD2"/>
    <w:rsid w:val="00243779"/>
    <w:rsid w:val="002456EA"/>
    <w:rsid w:val="002469BD"/>
    <w:rsid w:val="00283892"/>
    <w:rsid w:val="0029299A"/>
    <w:rsid w:val="002A619E"/>
    <w:rsid w:val="002B46BE"/>
    <w:rsid w:val="002B719B"/>
    <w:rsid w:val="002D0EDE"/>
    <w:rsid w:val="002D1FF3"/>
    <w:rsid w:val="002D38B7"/>
    <w:rsid w:val="002E5CE1"/>
    <w:rsid w:val="002E75F3"/>
    <w:rsid w:val="002E766B"/>
    <w:rsid w:val="002F195D"/>
    <w:rsid w:val="002F1B6A"/>
    <w:rsid w:val="00306096"/>
    <w:rsid w:val="00311366"/>
    <w:rsid w:val="00320F0F"/>
    <w:rsid w:val="00326CE1"/>
    <w:rsid w:val="003328ED"/>
    <w:rsid w:val="003515CF"/>
    <w:rsid w:val="00351E36"/>
    <w:rsid w:val="0035226D"/>
    <w:rsid w:val="00356A68"/>
    <w:rsid w:val="00362FAC"/>
    <w:rsid w:val="00364D85"/>
    <w:rsid w:val="003709D2"/>
    <w:rsid w:val="0037353D"/>
    <w:rsid w:val="00380501"/>
    <w:rsid w:val="0039020B"/>
    <w:rsid w:val="0039681B"/>
    <w:rsid w:val="003A2201"/>
    <w:rsid w:val="003A2AEB"/>
    <w:rsid w:val="003A5CCC"/>
    <w:rsid w:val="003C375E"/>
    <w:rsid w:val="003C718E"/>
    <w:rsid w:val="003D1640"/>
    <w:rsid w:val="003D1C5B"/>
    <w:rsid w:val="003D33CD"/>
    <w:rsid w:val="003E2C09"/>
    <w:rsid w:val="003E5FA8"/>
    <w:rsid w:val="00403B86"/>
    <w:rsid w:val="00404BE9"/>
    <w:rsid w:val="00420C06"/>
    <w:rsid w:val="00425208"/>
    <w:rsid w:val="00433212"/>
    <w:rsid w:val="0044738C"/>
    <w:rsid w:val="00453995"/>
    <w:rsid w:val="00462777"/>
    <w:rsid w:val="004719CC"/>
    <w:rsid w:val="00473FEC"/>
    <w:rsid w:val="00485373"/>
    <w:rsid w:val="004858CC"/>
    <w:rsid w:val="004948A8"/>
    <w:rsid w:val="004B1385"/>
    <w:rsid w:val="004D0D7C"/>
    <w:rsid w:val="004E4CA7"/>
    <w:rsid w:val="004F0A92"/>
    <w:rsid w:val="005012F3"/>
    <w:rsid w:val="00506ADA"/>
    <w:rsid w:val="00511458"/>
    <w:rsid w:val="00527D93"/>
    <w:rsid w:val="00531424"/>
    <w:rsid w:val="0053246C"/>
    <w:rsid w:val="0054680F"/>
    <w:rsid w:val="00551AEB"/>
    <w:rsid w:val="00565E66"/>
    <w:rsid w:val="0057766C"/>
    <w:rsid w:val="0058790B"/>
    <w:rsid w:val="005A5A75"/>
    <w:rsid w:val="005B1044"/>
    <w:rsid w:val="005B59BA"/>
    <w:rsid w:val="005C33AD"/>
    <w:rsid w:val="005C523D"/>
    <w:rsid w:val="005C6064"/>
    <w:rsid w:val="005D10C2"/>
    <w:rsid w:val="005D60E7"/>
    <w:rsid w:val="005E00AF"/>
    <w:rsid w:val="005F001C"/>
    <w:rsid w:val="006052FD"/>
    <w:rsid w:val="00606730"/>
    <w:rsid w:val="00612706"/>
    <w:rsid w:val="0061306F"/>
    <w:rsid w:val="00625B60"/>
    <w:rsid w:val="00627249"/>
    <w:rsid w:val="00646D3B"/>
    <w:rsid w:val="006470A6"/>
    <w:rsid w:val="00676A01"/>
    <w:rsid w:val="006A72C0"/>
    <w:rsid w:val="006C096F"/>
    <w:rsid w:val="006C6409"/>
    <w:rsid w:val="006C77C1"/>
    <w:rsid w:val="006E3B3E"/>
    <w:rsid w:val="006E5804"/>
    <w:rsid w:val="006F59B4"/>
    <w:rsid w:val="00700DC0"/>
    <w:rsid w:val="00701F1C"/>
    <w:rsid w:val="007126BE"/>
    <w:rsid w:val="007154ED"/>
    <w:rsid w:val="00723064"/>
    <w:rsid w:val="0073022B"/>
    <w:rsid w:val="007502A7"/>
    <w:rsid w:val="007522FB"/>
    <w:rsid w:val="00754C98"/>
    <w:rsid w:val="0075640E"/>
    <w:rsid w:val="00777B1A"/>
    <w:rsid w:val="007811E7"/>
    <w:rsid w:val="00782019"/>
    <w:rsid w:val="00784940"/>
    <w:rsid w:val="007921EA"/>
    <w:rsid w:val="007970AB"/>
    <w:rsid w:val="007A1AE3"/>
    <w:rsid w:val="007A500A"/>
    <w:rsid w:val="007C18B2"/>
    <w:rsid w:val="007C1B1D"/>
    <w:rsid w:val="007D2CEE"/>
    <w:rsid w:val="007E690E"/>
    <w:rsid w:val="007E7CAA"/>
    <w:rsid w:val="007E7ED0"/>
    <w:rsid w:val="007F00FB"/>
    <w:rsid w:val="007F3759"/>
    <w:rsid w:val="0080730E"/>
    <w:rsid w:val="008155DA"/>
    <w:rsid w:val="00816EF7"/>
    <w:rsid w:val="00843EC8"/>
    <w:rsid w:val="00851D41"/>
    <w:rsid w:val="00852380"/>
    <w:rsid w:val="008529DB"/>
    <w:rsid w:val="00855495"/>
    <w:rsid w:val="008572B6"/>
    <w:rsid w:val="00867E9D"/>
    <w:rsid w:val="00873688"/>
    <w:rsid w:val="00886BB1"/>
    <w:rsid w:val="00894363"/>
    <w:rsid w:val="00894B36"/>
    <w:rsid w:val="008B4AF4"/>
    <w:rsid w:val="008B6733"/>
    <w:rsid w:val="008C01B5"/>
    <w:rsid w:val="008C7C1D"/>
    <w:rsid w:val="008C7E5C"/>
    <w:rsid w:val="008F1B11"/>
    <w:rsid w:val="008F1C2B"/>
    <w:rsid w:val="00902E93"/>
    <w:rsid w:val="00905F92"/>
    <w:rsid w:val="0090608A"/>
    <w:rsid w:val="00922D46"/>
    <w:rsid w:val="00936AB0"/>
    <w:rsid w:val="00940C4A"/>
    <w:rsid w:val="0095155C"/>
    <w:rsid w:val="009516F5"/>
    <w:rsid w:val="00963703"/>
    <w:rsid w:val="00975450"/>
    <w:rsid w:val="00976EE0"/>
    <w:rsid w:val="009A1A83"/>
    <w:rsid w:val="009B0AE0"/>
    <w:rsid w:val="009B2DE9"/>
    <w:rsid w:val="009D244F"/>
    <w:rsid w:val="009D3C95"/>
    <w:rsid w:val="009E5C95"/>
    <w:rsid w:val="009F422C"/>
    <w:rsid w:val="00A31B9F"/>
    <w:rsid w:val="00A335B4"/>
    <w:rsid w:val="00A379E9"/>
    <w:rsid w:val="00A435E2"/>
    <w:rsid w:val="00A44629"/>
    <w:rsid w:val="00A60651"/>
    <w:rsid w:val="00A606EE"/>
    <w:rsid w:val="00A67483"/>
    <w:rsid w:val="00A75BA6"/>
    <w:rsid w:val="00A77CF9"/>
    <w:rsid w:val="00A83708"/>
    <w:rsid w:val="00A90432"/>
    <w:rsid w:val="00A9152B"/>
    <w:rsid w:val="00A932BF"/>
    <w:rsid w:val="00A96E9A"/>
    <w:rsid w:val="00AD0EFF"/>
    <w:rsid w:val="00AE014F"/>
    <w:rsid w:val="00AE4966"/>
    <w:rsid w:val="00AF168F"/>
    <w:rsid w:val="00AF2FE3"/>
    <w:rsid w:val="00B05069"/>
    <w:rsid w:val="00B06028"/>
    <w:rsid w:val="00B13975"/>
    <w:rsid w:val="00B16105"/>
    <w:rsid w:val="00B17059"/>
    <w:rsid w:val="00B23D02"/>
    <w:rsid w:val="00B25080"/>
    <w:rsid w:val="00B42368"/>
    <w:rsid w:val="00B46734"/>
    <w:rsid w:val="00B51F6C"/>
    <w:rsid w:val="00B530DD"/>
    <w:rsid w:val="00B65C05"/>
    <w:rsid w:val="00B832B3"/>
    <w:rsid w:val="00B84E77"/>
    <w:rsid w:val="00B87423"/>
    <w:rsid w:val="00BB1D68"/>
    <w:rsid w:val="00BB7FA9"/>
    <w:rsid w:val="00BC3976"/>
    <w:rsid w:val="00BC3AB5"/>
    <w:rsid w:val="00BC5986"/>
    <w:rsid w:val="00BD0B4D"/>
    <w:rsid w:val="00BD27B7"/>
    <w:rsid w:val="00BD6E76"/>
    <w:rsid w:val="00BF6390"/>
    <w:rsid w:val="00BF63B9"/>
    <w:rsid w:val="00BF7985"/>
    <w:rsid w:val="00C04ACC"/>
    <w:rsid w:val="00C24B5B"/>
    <w:rsid w:val="00C37E7D"/>
    <w:rsid w:val="00C44AD3"/>
    <w:rsid w:val="00C50EB4"/>
    <w:rsid w:val="00C53730"/>
    <w:rsid w:val="00C53E13"/>
    <w:rsid w:val="00C561DB"/>
    <w:rsid w:val="00C563D6"/>
    <w:rsid w:val="00C62C69"/>
    <w:rsid w:val="00C66EB9"/>
    <w:rsid w:val="00C7006E"/>
    <w:rsid w:val="00C94ECA"/>
    <w:rsid w:val="00C959C9"/>
    <w:rsid w:val="00CA2BD9"/>
    <w:rsid w:val="00CA3C5F"/>
    <w:rsid w:val="00CA6F63"/>
    <w:rsid w:val="00CB2E86"/>
    <w:rsid w:val="00CD191A"/>
    <w:rsid w:val="00CD7531"/>
    <w:rsid w:val="00CD7728"/>
    <w:rsid w:val="00CE045A"/>
    <w:rsid w:val="00CE3B28"/>
    <w:rsid w:val="00CE42B9"/>
    <w:rsid w:val="00CE6010"/>
    <w:rsid w:val="00CF03AF"/>
    <w:rsid w:val="00CF1D52"/>
    <w:rsid w:val="00CF4BE4"/>
    <w:rsid w:val="00D02E09"/>
    <w:rsid w:val="00D2513C"/>
    <w:rsid w:val="00D41C50"/>
    <w:rsid w:val="00D4770C"/>
    <w:rsid w:val="00D51B28"/>
    <w:rsid w:val="00D75145"/>
    <w:rsid w:val="00D76445"/>
    <w:rsid w:val="00D77D86"/>
    <w:rsid w:val="00D871C2"/>
    <w:rsid w:val="00D92C56"/>
    <w:rsid w:val="00D93B9C"/>
    <w:rsid w:val="00D93FD3"/>
    <w:rsid w:val="00DA4F10"/>
    <w:rsid w:val="00DA5B7C"/>
    <w:rsid w:val="00DD23FC"/>
    <w:rsid w:val="00DD36A8"/>
    <w:rsid w:val="00DD6C1C"/>
    <w:rsid w:val="00DE1DB0"/>
    <w:rsid w:val="00DE21EC"/>
    <w:rsid w:val="00DE64F7"/>
    <w:rsid w:val="00DF048E"/>
    <w:rsid w:val="00DF1511"/>
    <w:rsid w:val="00E024E2"/>
    <w:rsid w:val="00E11F14"/>
    <w:rsid w:val="00E16012"/>
    <w:rsid w:val="00E17039"/>
    <w:rsid w:val="00E30916"/>
    <w:rsid w:val="00E32AFD"/>
    <w:rsid w:val="00E36B92"/>
    <w:rsid w:val="00E41C71"/>
    <w:rsid w:val="00E436A7"/>
    <w:rsid w:val="00E47C96"/>
    <w:rsid w:val="00E52064"/>
    <w:rsid w:val="00E561FF"/>
    <w:rsid w:val="00E57FDF"/>
    <w:rsid w:val="00E63395"/>
    <w:rsid w:val="00E66D7B"/>
    <w:rsid w:val="00E75C66"/>
    <w:rsid w:val="00E75E31"/>
    <w:rsid w:val="00E83C8C"/>
    <w:rsid w:val="00E846BE"/>
    <w:rsid w:val="00E86131"/>
    <w:rsid w:val="00EA0557"/>
    <w:rsid w:val="00EA2ECB"/>
    <w:rsid w:val="00EC3C23"/>
    <w:rsid w:val="00EC6E57"/>
    <w:rsid w:val="00ED13A7"/>
    <w:rsid w:val="00ED1538"/>
    <w:rsid w:val="00ED3B16"/>
    <w:rsid w:val="00EF2430"/>
    <w:rsid w:val="00EF2728"/>
    <w:rsid w:val="00EF68E4"/>
    <w:rsid w:val="00F018DF"/>
    <w:rsid w:val="00F04DCD"/>
    <w:rsid w:val="00F178E5"/>
    <w:rsid w:val="00F2174B"/>
    <w:rsid w:val="00F21CFB"/>
    <w:rsid w:val="00F2505D"/>
    <w:rsid w:val="00F275DA"/>
    <w:rsid w:val="00F27C53"/>
    <w:rsid w:val="00F30D83"/>
    <w:rsid w:val="00F33BBA"/>
    <w:rsid w:val="00F63275"/>
    <w:rsid w:val="00F707CE"/>
    <w:rsid w:val="00F73986"/>
    <w:rsid w:val="00F7505A"/>
    <w:rsid w:val="00F87239"/>
    <w:rsid w:val="00F87E3C"/>
    <w:rsid w:val="00F966EA"/>
    <w:rsid w:val="00FB2C0A"/>
    <w:rsid w:val="00FB46B6"/>
    <w:rsid w:val="00FB6379"/>
    <w:rsid w:val="00FD0F44"/>
    <w:rsid w:val="00FD1CEA"/>
    <w:rsid w:val="00FD2992"/>
    <w:rsid w:val="00FD5251"/>
    <w:rsid w:val="00FD6020"/>
    <w:rsid w:val="00FE1C09"/>
    <w:rsid w:val="00FE36B8"/>
    <w:rsid w:val="00FF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8A19BEE-0E08-41A9-BD7E-FD0671BE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B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5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0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A0557"/>
  </w:style>
  <w:style w:type="character" w:styleId="Hyperlink">
    <w:name w:val="Hyperlink"/>
    <w:basedOn w:val="DefaultParagraphFont"/>
    <w:uiPriority w:val="99"/>
    <w:unhideWhenUsed/>
    <w:rsid w:val="00EA055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C0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0506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3A2201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3A220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nnisintegrityunit.com/media-releases/lifetime-ban-and-200000-fine-joao-olavo-soares-de-souza-after-conviction-match-fixing-charges" TargetMode="External"/><Relationship Id="rId13" Type="http://schemas.openxmlformats.org/officeDocument/2006/relationships/hyperlink" Target="http://www.tennisintegrityunit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nnisintegrityunit.com/media-releases/jonathan-kanar-suspended-and-fined-after-admitting-corruption-offences" TargetMode="External"/><Relationship Id="rId12" Type="http://schemas.openxmlformats.org/officeDocument/2006/relationships/hyperlink" Target="http://www.tennisintegrityunit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mailto:mark.harrison@tennisintegrityunit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ennisintegrityunit.com/media-releases/patrick-keane-suspended-and-fined-betting-tennis-offenc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nnisintegrityunit.com/media-releases/independent-anti-corruption-hearing-officer-reduces-nicolas-kicker-suspension-recognition-player-education-suppor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ACE69-BFAB-4420-9865-65E059C96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1032</Words>
  <Characters>5327</Characters>
  <Application>Microsoft Office Word</Application>
  <DocSecurity>0</DocSecurity>
  <Lines>121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ITF Licensing (UK) Ltd</Company>
  <LinksUpToDate>false</LinksUpToDate>
  <CharactersWithSpaces>6305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Harrison</dc:creator>
  <cp:lastModifiedBy>Mark Harrison</cp:lastModifiedBy>
  <cp:revision>2</cp:revision>
  <cp:lastPrinted>2020-04-07T10:24:00Z</cp:lastPrinted>
  <dcterms:created xsi:type="dcterms:W3CDTF">2020-04-07T10:25:00Z</dcterms:created>
  <dcterms:modified xsi:type="dcterms:W3CDTF">2020-04-07T10:25:00Z</dcterms:modified>
</cp:coreProperties>
</file>